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30" w:rsidRDefault="009F13D4" w14:paraId="31B1AA47" w14:textId="4470D07C">
      <w:pPr>
        <w:rPr>
          <w:b/>
          <w:bCs/>
          <w:sz w:val="24"/>
          <w:szCs w:val="24"/>
          <w:lang w:val="en-US"/>
        </w:rPr>
      </w:pPr>
      <w:r>
        <w:rPr>
          <w:noProof/>
          <w:lang w:eastAsia="en-GB"/>
        </w:rPr>
        <mc:AlternateContent>
          <mc:Choice Requires="wps">
            <w:drawing>
              <wp:anchor distT="0" distB="0" distL="114300" distR="114300" simplePos="0" relativeHeight="251662336" behindDoc="1" locked="0" layoutInCell="1" allowOverlap="1" wp14:editId="3C344CBF" wp14:anchorId="55B209E2">
                <wp:simplePos x="0" y="0"/>
                <wp:positionH relativeFrom="column">
                  <wp:posOffset>-179070</wp:posOffset>
                </wp:positionH>
                <wp:positionV relativeFrom="paragraph">
                  <wp:posOffset>859155</wp:posOffset>
                </wp:positionV>
                <wp:extent cx="4810125" cy="53721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810125" cy="5372100"/>
                        </a:xfrm>
                        <a:prstGeom prst="rect">
                          <a:avLst/>
                        </a:prstGeom>
                        <a:solidFill>
                          <a:schemeClr val="lt1"/>
                        </a:solidFill>
                        <a:ln w="6350">
                          <a:noFill/>
                        </a:ln>
                      </wps:spPr>
                      <wps:txbx>
                        <w:txbxContent>
                          <w:p w:rsidRPr="003D0ED5" w:rsidR="003D0ED5" w:rsidP="003D0ED5" w:rsidRDefault="003D0ED5" w14:paraId="122A6F52" w14:textId="77777777">
                            <w:pPr>
                              <w:rPr>
                                <w:rFonts w:cstheme="minorHAnsi"/>
                              </w:rPr>
                            </w:pPr>
                            <w:r w:rsidRPr="003D0ED5">
                              <w:rPr>
                                <w:rFonts w:cstheme="minorHAnsi"/>
                                <w:b/>
                              </w:rPr>
                              <w:t xml:space="preserve">What counts as exceptional circumstances? </w:t>
                            </w:r>
                          </w:p>
                          <w:p w:rsidRPr="003D0ED5" w:rsidR="003D0ED5" w:rsidP="003D0ED5" w:rsidRDefault="003D0ED5" w14:paraId="00FD50CB" w14:textId="77777777">
                            <w:r w:rsidRPr="003D0ED5">
                              <w:t xml:space="preserve">Exceptional circumstances are defined as a problem that a student has recently encountered </w:t>
                            </w:r>
                            <w:r w:rsidRPr="003D0ED5">
                              <w:rPr>
                                <w:u w:val="single"/>
                              </w:rPr>
                              <w:t>which goes beyond the normal difficulties experienced in life and that will affect the student’s ability to attend their planned practice allocation</w:t>
                            </w:r>
                            <w:r w:rsidRPr="003D0ED5">
                              <w:t xml:space="preserve">. The criteria for exceptional circumstances are: </w:t>
                            </w:r>
                          </w:p>
                          <w:p w:rsidRPr="003D0ED5" w:rsidR="003D0ED5" w:rsidP="00155883" w:rsidRDefault="003D0ED5" w14:paraId="11113179" w14:textId="77777777">
                            <w:pPr>
                              <w:pStyle w:val="ListParagraph"/>
                              <w:numPr>
                                <w:ilvl w:val="0"/>
                                <w:numId w:val="2"/>
                              </w:numPr>
                              <w:ind w:left="426" w:hanging="284"/>
                            </w:pPr>
                            <w:r w:rsidRPr="003D0ED5">
                              <w:t xml:space="preserve">The student has an association with the placement that relates to their relatives or a critical incident. This would include situations such as having a relative who is an in-patient or client at the placement, a member of staff on the placement who is a relative or where the placement is associated with a bereavement or traumatic event in the student’s life. </w:t>
                            </w:r>
                          </w:p>
                          <w:p w:rsidRPr="003D0ED5" w:rsidR="003D0ED5" w:rsidP="00155883" w:rsidRDefault="003D0ED5" w14:paraId="5BA3AB80" w14:textId="77777777">
                            <w:pPr>
                              <w:numPr>
                                <w:ilvl w:val="0"/>
                                <w:numId w:val="2"/>
                              </w:numPr>
                              <w:ind w:left="426" w:hanging="284"/>
                            </w:pPr>
                            <w:r w:rsidRPr="003D0ED5">
                              <w:t xml:space="preserve">The student’s personal situation has changed radically since commencing their programme. This refers to life changing events such as divorce, or bereavement which were unforeseen and impacts on the student’s ability to attend the allocated placement. While the situation will be considered, a review should be undertaken to ensure that support is in place which is conducive to completing their programme.  </w:t>
                            </w:r>
                          </w:p>
                          <w:p w:rsidRPr="003D0ED5" w:rsidR="003D0ED5" w:rsidP="00155883" w:rsidRDefault="003D0ED5" w14:paraId="30F729DA" w14:textId="77777777">
                            <w:pPr>
                              <w:numPr>
                                <w:ilvl w:val="0"/>
                                <w:numId w:val="2"/>
                              </w:numPr>
                              <w:ind w:left="426" w:hanging="284"/>
                            </w:pPr>
                            <w:r w:rsidRPr="003D0ED5">
                              <w:t xml:space="preserve">Where travel to placement exceeds 2 hours. Students will inevitably be required to travel to placements during their programme but will not be expected to travel for more than 2 hours each way. However, if a student lives outside of the placement circuit this limit may not be possible due to the geographical location of the student's home and the available placement. </w:t>
                            </w:r>
                          </w:p>
                          <w:p w:rsidRPr="003D0ED5" w:rsidR="003D0ED5" w:rsidP="00155883" w:rsidRDefault="003D0ED5" w14:paraId="150D51FC" w14:textId="77777777">
                            <w:pPr>
                              <w:numPr>
                                <w:ilvl w:val="0"/>
                                <w:numId w:val="2"/>
                              </w:numPr>
                              <w:ind w:left="426" w:hanging="284"/>
                            </w:pPr>
                            <w:r w:rsidRPr="003D0ED5">
                              <w:t xml:space="preserve">Health issues where the Occupational Health Department report identifies that health could be compromised in a particular clinical environment. A balance needs to be established in this case.  </w:t>
                            </w:r>
                          </w:p>
                          <w:p w:rsidR="003D0ED5" w:rsidRDefault="003D0ED5" w14:paraId="61478E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B209E2">
                <v:stroke joinstyle="miter"/>
                <v:path gradientshapeok="t" o:connecttype="rect"/>
              </v:shapetype>
              <v:shape id="Text Box 4" style="position:absolute;margin-left:-14.1pt;margin-top:67.65pt;width:378.75pt;height:4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zmRgIAAIEEAAAOAAAAZHJzL2Uyb0RvYy54bWysVEtv2zAMvg/YfxB0X/yo03ZGnCJLkWFA&#10;0BZIhp4VWY4NyKImKbGzXz9KjtOs22nYRaZIio/vIz176FtJjsLYBlRBk0lMiVAcykbtC/p9u/p0&#10;T4l1TJVMghIFPQlLH+YfP8w6nYsUapClMASDKJt3uqC1czqPIstr0TI7AS0UGiswLXN4NfuoNKzD&#10;6K2M0ji+jTowpTbAhbWofRyMdB7iV5Xg7rmqrHBEFhRrc+E04dz5M5rPWL43TNcNP5fB/qGKljUK&#10;k15CPTLHyME0f4RqG27AQuUmHNoIqqrhIvSA3STxu242NdMi9ILgWH2Byf6/sPzp+GJIUxY0o0Sx&#10;Finait6RL9CTzKPTaZuj00ajm+tRjSyPeotK33RfmdZ/sR2CdsT5dMHWB+OozO6TOEmnlHC0TW/u&#10;0iQO6Edvz7Wx7quAlnihoAbJC5iy49o6LAVdRxefzYJsylUjZbj4gRFLaciRIdXShSLxxW9eUpGu&#10;oLc30zgEVuCfD5GlwgS+2aEpL7l+1wdo0rHhHZQnxMHAMEdW81WDta6ZdS/M4OBg67gM7hmPSgLm&#10;grNESQ3m59/03h/5RCslHQ5iQe2PAzOCEvlNIdOfkyzzkxsu2fQuxYu5tuyuLerQLgEBSHDtNA+i&#10;93dyFCsD7SvuzMJnRRNTHHMX1I3i0g3rgTvHxWIRnHBWNXNrtdHch/aAeya2/Ssz+kyXQ6afYBxZ&#10;lr9jbfD1LxUsDg6qJlDqcR5QPcOPcx6YPu+kX6Tre/B6+3PMfwEAAP//AwBQSwMEFAAGAAgAAAAh&#10;AH6W4h3hAAAACwEAAA8AAABkcnMvZG93bnJldi54bWxMj01Pg0AQhu8m/ofNmHgx7VKIliJLY4wf&#10;iTeLtvG2ZUcgsrOE3QL+e8eT3mbyvnnmmXw7206MOPjWkYLVMgKBVDnTUq3grXxcpCB80GR05wgV&#10;fKOHbXF+luvMuIlecdyFWjCEfKYVNCH0mZS+atBqv3Q9EmefbrA68DrU0gx6YrjtZBxFN9LqlvhC&#10;o3u8b7D62p2sgo+r+vDi56f3KblO+ofnsVzvTanU5cV8dwsi4Bz+yvCrz+pQsNPRnch40SlYxGnM&#10;VQ6YAYIb63jDw1HBJl0lIItc/v+h+AEAAP//AwBQSwECLQAUAAYACAAAACEAtoM4kv4AAADhAQAA&#10;EwAAAAAAAAAAAAAAAAAAAAAAW0NvbnRlbnRfVHlwZXNdLnhtbFBLAQItABQABgAIAAAAIQA4/SH/&#10;1gAAAJQBAAALAAAAAAAAAAAAAAAAAC8BAABfcmVscy8ucmVsc1BLAQItABQABgAIAAAAIQAcU5zm&#10;RgIAAIEEAAAOAAAAAAAAAAAAAAAAAC4CAABkcnMvZTJvRG9jLnhtbFBLAQItABQABgAIAAAAIQB+&#10;luId4QAAAAsBAAAPAAAAAAAAAAAAAAAAAKAEAABkcnMvZG93bnJldi54bWxQSwUGAAAAAAQABADz&#10;AAAArgUAAAAA&#10;">
                <v:textbox>
                  <w:txbxContent>
                    <w:p w:rsidRPr="003D0ED5" w:rsidR="003D0ED5" w:rsidP="003D0ED5" w:rsidRDefault="003D0ED5" w14:paraId="122A6F52" w14:textId="77777777">
                      <w:pPr>
                        <w:rPr>
                          <w:rFonts w:cstheme="minorHAnsi"/>
                        </w:rPr>
                      </w:pPr>
                      <w:r w:rsidRPr="003D0ED5">
                        <w:rPr>
                          <w:rFonts w:cstheme="minorHAnsi"/>
                          <w:b/>
                        </w:rPr>
                        <w:t xml:space="preserve">What counts as exceptional circumstances? </w:t>
                      </w:r>
                    </w:p>
                    <w:p w:rsidRPr="003D0ED5" w:rsidR="003D0ED5" w:rsidP="003D0ED5" w:rsidRDefault="003D0ED5" w14:paraId="00FD50CB" w14:textId="77777777">
                      <w:r w:rsidRPr="003D0ED5">
                        <w:t xml:space="preserve">Exceptional circumstances are defined as a problem that a student has recently encountered </w:t>
                      </w:r>
                      <w:r w:rsidRPr="003D0ED5">
                        <w:rPr>
                          <w:u w:val="single"/>
                        </w:rPr>
                        <w:t>which goes beyond the normal difficulties experienced in life and that will affect the student’s ability to attend their planned practice allocation</w:t>
                      </w:r>
                      <w:r w:rsidRPr="003D0ED5">
                        <w:t xml:space="preserve">. The criteria for exceptional circumstances are: </w:t>
                      </w:r>
                    </w:p>
                    <w:p w:rsidRPr="003D0ED5" w:rsidR="003D0ED5" w:rsidP="00155883" w:rsidRDefault="003D0ED5" w14:paraId="11113179" w14:textId="77777777">
                      <w:pPr>
                        <w:pStyle w:val="ListParagraph"/>
                        <w:numPr>
                          <w:ilvl w:val="0"/>
                          <w:numId w:val="2"/>
                        </w:numPr>
                        <w:ind w:left="426" w:hanging="284"/>
                      </w:pPr>
                      <w:r w:rsidRPr="003D0ED5">
                        <w:t xml:space="preserve">The student has an association with the placement that relates to their relatives or a critical incident. This would include situations such as having a relative who is an in-patient or client at the placement, a member of staff on the placement who is a relative or where the placement is associated with a bereavement or traumatic event in the student’s life. </w:t>
                      </w:r>
                    </w:p>
                    <w:p w:rsidRPr="003D0ED5" w:rsidR="003D0ED5" w:rsidP="00155883" w:rsidRDefault="003D0ED5" w14:paraId="5BA3AB80" w14:textId="77777777">
                      <w:pPr>
                        <w:numPr>
                          <w:ilvl w:val="0"/>
                          <w:numId w:val="2"/>
                        </w:numPr>
                        <w:ind w:left="426" w:hanging="284"/>
                      </w:pPr>
                      <w:r w:rsidRPr="003D0ED5">
                        <w:t xml:space="preserve">The student’s personal situation has changed radically since commencing their programme. This refers to life changing events such as divorce, or bereavement which were unforeseen and impacts on the student’s ability to attend the allocated placement. While the situation will be considered, a review should be undertaken to ensure that support is in place which is conducive to completing their programme.  </w:t>
                      </w:r>
                    </w:p>
                    <w:p w:rsidRPr="003D0ED5" w:rsidR="003D0ED5" w:rsidP="00155883" w:rsidRDefault="003D0ED5" w14:paraId="30F729DA" w14:textId="77777777">
                      <w:pPr>
                        <w:numPr>
                          <w:ilvl w:val="0"/>
                          <w:numId w:val="2"/>
                        </w:numPr>
                        <w:ind w:left="426" w:hanging="284"/>
                      </w:pPr>
                      <w:r w:rsidRPr="003D0ED5">
                        <w:t xml:space="preserve">Where travel to placement exceeds 2 hours. Students will inevitably be required to travel to placements during their programme but will not be expected to travel for more than 2 hours each way. However, if a student lives outside of the placement circuit this limit may not be possible due to the geographical location of the student's home and the available placement. </w:t>
                      </w:r>
                    </w:p>
                    <w:p w:rsidRPr="003D0ED5" w:rsidR="003D0ED5" w:rsidP="00155883" w:rsidRDefault="003D0ED5" w14:paraId="150D51FC" w14:textId="77777777">
                      <w:pPr>
                        <w:numPr>
                          <w:ilvl w:val="0"/>
                          <w:numId w:val="2"/>
                        </w:numPr>
                        <w:ind w:left="426" w:hanging="284"/>
                      </w:pPr>
                      <w:r w:rsidRPr="003D0ED5">
                        <w:t xml:space="preserve">Health issues where the Occupational Health Department report identifies that health could be compromised in a particular clinical environment. A balance needs to be established in this case.  </w:t>
                      </w:r>
                    </w:p>
                    <w:p w:rsidR="003D0ED5" w:rsidRDefault="003D0ED5" w14:paraId="61478E70" w14:textId="77777777"/>
                  </w:txbxContent>
                </v:textbox>
              </v:shape>
            </w:pict>
          </mc:Fallback>
        </mc:AlternateContent>
      </w:r>
      <w:r w:rsidRPr="003D0ED5">
        <w:rPr>
          <w:noProof/>
          <w:lang w:eastAsia="en-GB"/>
        </w:rPr>
        <mc:AlternateContent>
          <mc:Choice Requires="wps">
            <w:drawing>
              <wp:anchor distT="45720" distB="45720" distL="114300" distR="114300" simplePos="0" relativeHeight="251661312" behindDoc="0" locked="0" layoutInCell="1" allowOverlap="1" wp14:editId="380A755D" wp14:anchorId="49FB1F60">
                <wp:simplePos x="0" y="0"/>
                <wp:positionH relativeFrom="margin">
                  <wp:posOffset>4878705</wp:posOffset>
                </wp:positionH>
                <wp:positionV relativeFrom="paragraph">
                  <wp:posOffset>859155</wp:posOffset>
                </wp:positionV>
                <wp:extent cx="5162550" cy="5276850"/>
                <wp:effectExtent l="0" t="0" r="0" b="0"/>
                <wp:wrapThrough wrapText="bothSides">
                  <wp:wrapPolygon edited="0">
                    <wp:start x="0" y="0"/>
                    <wp:lineTo x="0" y="21522"/>
                    <wp:lineTo x="21520" y="21522"/>
                    <wp:lineTo x="2152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276850"/>
                        </a:xfrm>
                        <a:prstGeom prst="rect">
                          <a:avLst/>
                        </a:prstGeom>
                        <a:solidFill>
                          <a:srgbClr val="FFFFFF"/>
                        </a:solidFill>
                        <a:ln w="9525">
                          <a:noFill/>
                          <a:miter lim="800000"/>
                          <a:headEnd/>
                          <a:tailEnd/>
                        </a:ln>
                      </wps:spPr>
                      <wps:txbx>
                        <w:txbxContent>
                          <w:p w:rsidRPr="00155883" w:rsidR="00155883" w:rsidP="00155883" w:rsidRDefault="00155883" w14:paraId="35465B7A" w14:textId="3DD6C00D">
                            <w:r w:rsidRPr="003D0ED5">
                              <w:t xml:space="preserve">Fundamentally, if a student is not fit, they are not fit for practice and patient safety is paramount. A change of placement would be a short-term solution and if ill-health continues to be a problem other solutions should be sought. </w:t>
                            </w:r>
                          </w:p>
                          <w:p w:rsidRPr="004D6D24" w:rsidR="003D0ED5" w:rsidP="003D0ED5" w:rsidRDefault="00155883" w14:paraId="480B555D" w14:textId="243F3775">
                            <w:pPr>
                              <w:spacing w:after="225"/>
                              <w:ind w:left="-5"/>
                              <w:rPr>
                                <w:rFonts w:cstheme="minorHAnsi"/>
                              </w:rPr>
                            </w:pPr>
                            <w:r>
                              <w:rPr>
                                <w:rFonts w:eastAsia="Calibri" w:cstheme="minorHAnsi"/>
                                <w:b/>
                              </w:rPr>
                              <w:t>W</w:t>
                            </w:r>
                            <w:r w:rsidRPr="004D6D24" w:rsidR="003D0ED5">
                              <w:rPr>
                                <w:rFonts w:eastAsia="Calibri" w:cstheme="minorHAnsi"/>
                                <w:b/>
                              </w:rPr>
                              <w:t xml:space="preserve">hat does </w:t>
                            </w:r>
                            <w:r w:rsidRPr="004D6D24" w:rsidR="003D0ED5">
                              <w:rPr>
                                <w:rFonts w:eastAsia="Calibri" w:cstheme="minorHAnsi"/>
                                <w:b/>
                                <w:u w:val="single" w:color="000000"/>
                              </w:rPr>
                              <w:t>not</w:t>
                            </w:r>
                            <w:r w:rsidRPr="004D6D24" w:rsidR="003D0ED5">
                              <w:rPr>
                                <w:rFonts w:eastAsia="Calibri" w:cstheme="minorHAnsi"/>
                                <w:b/>
                              </w:rPr>
                              <w:t xml:space="preserve"> count as exceptional circumstances? </w:t>
                            </w:r>
                          </w:p>
                          <w:p w:rsidRPr="00404F07" w:rsidR="003D0ED5" w:rsidP="00173FDA" w:rsidRDefault="003D0ED5" w14:paraId="75D6B483" w14:textId="77777777">
                            <w:pPr>
                              <w:numPr>
                                <w:ilvl w:val="0"/>
                                <w:numId w:val="1"/>
                              </w:numPr>
                              <w:spacing w:after="248" w:line="240" w:lineRule="auto"/>
                              <w:ind w:hanging="358"/>
                              <w:jc w:val="both"/>
                            </w:pPr>
                            <w:r w:rsidRPr="00404F07">
                              <w:t xml:space="preserve">Concerns about routine childcare/carer responsibilities </w:t>
                            </w:r>
                          </w:p>
                          <w:p w:rsidRPr="00404F07" w:rsidR="003D0ED5" w:rsidP="00173FDA" w:rsidRDefault="003D0ED5" w14:paraId="48D7FCBA" w14:textId="77777777">
                            <w:pPr>
                              <w:numPr>
                                <w:ilvl w:val="0"/>
                                <w:numId w:val="1"/>
                              </w:numPr>
                              <w:spacing w:after="248" w:line="240" w:lineRule="auto"/>
                              <w:ind w:hanging="358"/>
                              <w:jc w:val="both"/>
                            </w:pPr>
                            <w:r w:rsidRPr="00404F07">
                              <w:t xml:space="preserve">Previous experience with the client group </w:t>
                            </w:r>
                          </w:p>
                          <w:p w:rsidRPr="00404F07" w:rsidR="003D0ED5" w:rsidP="00173FDA" w:rsidRDefault="003D0ED5" w14:paraId="21073E38" w14:textId="77777777">
                            <w:pPr>
                              <w:numPr>
                                <w:ilvl w:val="0"/>
                                <w:numId w:val="1"/>
                              </w:numPr>
                              <w:spacing w:after="248" w:line="240" w:lineRule="auto"/>
                              <w:ind w:hanging="358"/>
                              <w:jc w:val="both"/>
                            </w:pPr>
                            <w:r w:rsidRPr="00404F07">
                              <w:t xml:space="preserve">Personal preferences </w:t>
                            </w:r>
                          </w:p>
                          <w:p w:rsidRPr="00404F07" w:rsidR="003D0ED5" w:rsidP="00173FDA" w:rsidRDefault="003D0ED5" w14:paraId="2DEAAB3C" w14:textId="77777777">
                            <w:pPr>
                              <w:numPr>
                                <w:ilvl w:val="0"/>
                                <w:numId w:val="1"/>
                              </w:numPr>
                              <w:spacing w:after="245" w:line="240" w:lineRule="auto"/>
                              <w:ind w:hanging="358"/>
                              <w:jc w:val="both"/>
                            </w:pPr>
                            <w:r w:rsidRPr="00404F07">
                              <w:t xml:space="preserve">Particular interest (or not) in a specific client group </w:t>
                            </w:r>
                          </w:p>
                          <w:p w:rsidRPr="00404F07" w:rsidR="003D0ED5" w:rsidP="00173FDA" w:rsidRDefault="003D0ED5" w14:paraId="1EB7DBD0" w14:textId="1591EA2F">
                            <w:pPr>
                              <w:numPr>
                                <w:ilvl w:val="0"/>
                                <w:numId w:val="1"/>
                              </w:numPr>
                              <w:spacing w:after="248" w:line="240" w:lineRule="auto"/>
                              <w:ind w:hanging="358"/>
                              <w:jc w:val="both"/>
                            </w:pPr>
                            <w:r w:rsidRPr="00404F07">
                              <w:t xml:space="preserve">Concerns over public transport </w:t>
                            </w:r>
                            <w:r w:rsidR="009F13D4">
                              <w:t>and travel</w:t>
                            </w:r>
                          </w:p>
                          <w:p w:rsidRPr="00404F07" w:rsidR="003D0ED5" w:rsidP="00173FDA" w:rsidRDefault="003D0ED5" w14:paraId="0E788B30" w14:textId="210EA3D7">
                            <w:pPr>
                              <w:numPr>
                                <w:ilvl w:val="0"/>
                                <w:numId w:val="1"/>
                              </w:numPr>
                              <w:spacing w:after="249" w:line="240" w:lineRule="auto"/>
                              <w:ind w:hanging="358"/>
                              <w:jc w:val="both"/>
                            </w:pPr>
                            <w:r w:rsidRPr="00404F07">
                              <w:t xml:space="preserve">Concerns </w:t>
                            </w:r>
                            <w:r w:rsidR="009F13D4">
                              <w:t>regarding COVID (unless stipulated in OH report)</w:t>
                            </w:r>
                            <w:r w:rsidRPr="00404F07">
                              <w:t xml:space="preserve"> </w:t>
                            </w:r>
                          </w:p>
                          <w:p w:rsidRPr="00404F07" w:rsidR="003D0ED5" w:rsidP="00173FDA" w:rsidRDefault="003D0ED5" w14:paraId="418074FF" w14:textId="77777777">
                            <w:pPr>
                              <w:numPr>
                                <w:ilvl w:val="0"/>
                                <w:numId w:val="1"/>
                              </w:numPr>
                              <w:spacing w:after="117" w:line="240" w:lineRule="auto"/>
                              <w:ind w:hanging="358"/>
                              <w:jc w:val="both"/>
                            </w:pPr>
                            <w:r w:rsidRPr="00404F07">
                              <w:t xml:space="preserve">Concerns over shift times </w:t>
                            </w:r>
                          </w:p>
                          <w:p w:rsidRPr="00404F07" w:rsidR="003D0ED5" w:rsidP="00173FDA" w:rsidRDefault="003D0ED5" w14:paraId="78153C31" w14:textId="77777777">
                            <w:pPr>
                              <w:numPr>
                                <w:ilvl w:val="0"/>
                                <w:numId w:val="1"/>
                              </w:numPr>
                              <w:spacing w:after="249" w:line="240" w:lineRule="auto"/>
                              <w:ind w:hanging="358"/>
                              <w:jc w:val="both"/>
                            </w:pPr>
                            <w:r w:rsidRPr="00404F07">
                              <w:t xml:space="preserve">Disruptions to shared travel arrangements </w:t>
                            </w:r>
                          </w:p>
                          <w:p w:rsidRPr="00404F07" w:rsidR="003D0ED5" w:rsidP="00173FDA" w:rsidRDefault="003D0ED5" w14:paraId="61B310AB" w14:textId="77777777">
                            <w:pPr>
                              <w:numPr>
                                <w:ilvl w:val="0"/>
                                <w:numId w:val="1"/>
                              </w:numPr>
                              <w:spacing w:after="249" w:line="240" w:lineRule="auto"/>
                              <w:ind w:hanging="358"/>
                              <w:jc w:val="both"/>
                            </w:pPr>
                            <w:r w:rsidRPr="00404F07">
                              <w:t xml:space="preserve">Moving house </w:t>
                            </w:r>
                          </w:p>
                          <w:p w:rsidRPr="00404F07" w:rsidR="003D0ED5" w:rsidP="00173FDA" w:rsidRDefault="003D0ED5" w14:paraId="2D936D7A" w14:textId="77777777">
                            <w:pPr>
                              <w:numPr>
                                <w:ilvl w:val="0"/>
                                <w:numId w:val="1"/>
                              </w:numPr>
                              <w:spacing w:after="248" w:line="240" w:lineRule="auto"/>
                              <w:ind w:hanging="358"/>
                              <w:jc w:val="both"/>
                            </w:pPr>
                            <w:r w:rsidRPr="00404F07">
                              <w:t xml:space="preserve">Risk of adverse weather </w:t>
                            </w:r>
                          </w:p>
                          <w:p w:rsidRPr="00404F07" w:rsidR="003D0ED5" w:rsidP="00173FDA" w:rsidRDefault="003D0ED5" w14:paraId="0BDBB6BE" w14:textId="77777777">
                            <w:pPr>
                              <w:numPr>
                                <w:ilvl w:val="0"/>
                                <w:numId w:val="1"/>
                              </w:numPr>
                              <w:spacing w:after="245" w:line="240" w:lineRule="auto"/>
                              <w:ind w:hanging="358"/>
                              <w:jc w:val="both"/>
                            </w:pPr>
                            <w:r w:rsidRPr="00404F07">
                              <w:t xml:space="preserve">Paid work commitments or constraints arising from paid employment </w:t>
                            </w:r>
                          </w:p>
                          <w:p w:rsidRPr="00404F07" w:rsidR="003D0ED5" w:rsidP="00155883" w:rsidRDefault="003D0ED5" w14:paraId="06FE4D33" w14:textId="77777777">
                            <w:pPr>
                              <w:numPr>
                                <w:ilvl w:val="0"/>
                                <w:numId w:val="1"/>
                              </w:numPr>
                              <w:spacing w:after="247" w:line="240" w:lineRule="auto"/>
                              <w:ind w:hanging="358"/>
                            </w:pPr>
                            <w:r w:rsidRPr="00404F07">
                              <w:t xml:space="preserve">Minor illnesses/conditions (e.g. hay fever) or planned health appointments </w:t>
                            </w:r>
                          </w:p>
                          <w:p w:rsidRPr="00404F07" w:rsidR="003D0ED5" w:rsidP="003D0ED5" w:rsidRDefault="003D0ED5" w14:paraId="64E45D84" w14:textId="77777777">
                            <w:pPr>
                              <w:rPr>
                                <w:lang w:val="en-US"/>
                              </w:rPr>
                            </w:pPr>
                            <w:r w:rsidRPr="00404F07">
                              <w:t>Disabilities for which reasonable adjustments have been made or where the student has experience or time to manage the situation.</w:t>
                            </w:r>
                          </w:p>
                          <w:p w:rsidR="003D0ED5" w:rsidRDefault="003D0ED5" w14:paraId="331E0D40" w14:textId="66DE56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84.15pt;margin-top:67.65pt;width:406.5pt;height:41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poIwIAACUEAAAOAAAAZHJzL2Uyb0RvYy54bWysU1GP0zAMfkfiP0R5Z12rddtV607HjiGk&#10;40C64wdkabpGJHFIsrXj1+Oku92AN0QeIju2v9if7dXtoBU5CuclmJrmkyklwnBopNnX9Nvz9t2S&#10;Eh+YaZgCI2p6Ep7ert++WfW2EgV0oBrhCIIYX/W2pl0ItsoyzzuhmZ+AFQaNLTjNAqpunzWO9Yiu&#10;VVZMp/OsB9dYB1x4j6/3o5GuE37bCh6+tK0XgaiaYm4h3S7du3hn6xWr9o7ZTvJzGuwfstBMGvz0&#10;AnXPAiMHJ/+C0pI78NCGCQedQdtKLlINWE0+/aOap45ZkWpBcry90OT/Hyx/PH51RDY1LfIFJYZp&#10;bNKzGAJ5DwMpIj+99RW6PVl0DAM+Y59Trd4+AP/uiYFNx8xe3DkHfSdYg/nlMTK7Ch1xfATZ9Z+h&#10;wW/YIUACGlqnI3lIB0F07NPp0puYCsfHMp8XZYkmjrayWMyXqMQ/WPUSbp0PHwVoEoWaOmx+gmfH&#10;Bx9G1xeX+JsHJZutVCopbr/bKEeODAdlm84Z/Tc3ZUhf05uyKBOygRiP0KzSMuAgK6lrupzGE8NZ&#10;Fen4YJokBybVKGPSypz5iZSM5IRhN6RWJPIidztoTkiYg3Fucc9Q6MD9pKTHma2p/3FgTlCiPhkk&#10;/SafzeKQJ2VWLgpU3LVld21hhiNUTQMlo7gJaTFi2gbusDmtTLS9ZnJOGWcxEX/emzjs13ryet3u&#10;9S8AAAD//wMAUEsDBBQABgAIAAAAIQAqErMm3wAAAAwBAAAPAAAAZHJzL2Rvd25yZXYueG1sTI9B&#10;T4NAEIXvJv6HzZh4MXapyEKRpVETjdfW/oABtkBkZwm7LfTfOz3p7U3elzfvFdvFDuJsJt870rBe&#10;RSAM1a7pqdVw+P54zED4gNTg4MhouBgP2/L2psC8cTPtzHkfWsEh5HPU0IUw5lL6ujMW/cqNhtg7&#10;usli4HNqZTPhzOF2kE9RpKTFnvhDh6N570z9sz9ZDcev+SHZzNVnOKS7Z/WGfVq5i9b3d8vrC4hg&#10;lvAHw7U+V4eSO1XuRI0Xg4ZUZTGjbMQJiyuRZGtWlYaNUjHIspD/R5S/AAAA//8DAFBLAQItABQA&#10;BgAIAAAAIQC2gziS/gAAAOEBAAATAAAAAAAAAAAAAAAAAAAAAABbQ29udGVudF9UeXBlc10ueG1s&#10;UEsBAi0AFAAGAAgAAAAhADj9If/WAAAAlAEAAAsAAAAAAAAAAAAAAAAALwEAAF9yZWxzLy5yZWxz&#10;UEsBAi0AFAAGAAgAAAAhADKZimgjAgAAJQQAAA4AAAAAAAAAAAAAAAAALgIAAGRycy9lMm9Eb2Mu&#10;eG1sUEsBAi0AFAAGAAgAAAAhACoSsybfAAAADAEAAA8AAAAAAAAAAAAAAAAAfQQAAGRycy9kb3du&#10;cmV2LnhtbFBLBQYAAAAABAAEAPMAAACJBQAAAAA=&#10;" w14:anchorId="49FB1F60">
                <v:textbox>
                  <w:txbxContent>
                    <w:p w:rsidRPr="00155883" w:rsidR="00155883" w:rsidP="00155883" w:rsidRDefault="00155883" w14:paraId="35465B7A" w14:textId="3DD6C00D">
                      <w:r w:rsidRPr="003D0ED5">
                        <w:t xml:space="preserve">Fundamentally, if a student is not fit, they are not fit for practice and patient safety is paramount. A change of placement would be a short-term solution and if ill-health continues to be a problem other solutions should be sought. </w:t>
                      </w:r>
                    </w:p>
                    <w:p w:rsidRPr="004D6D24" w:rsidR="003D0ED5" w:rsidP="003D0ED5" w:rsidRDefault="00155883" w14:paraId="480B555D" w14:textId="243F3775">
                      <w:pPr>
                        <w:spacing w:after="225"/>
                        <w:ind w:left="-5"/>
                        <w:rPr>
                          <w:rFonts w:cstheme="minorHAnsi"/>
                        </w:rPr>
                      </w:pPr>
                      <w:r>
                        <w:rPr>
                          <w:rFonts w:eastAsia="Calibri" w:cstheme="minorHAnsi"/>
                          <w:b/>
                        </w:rPr>
                        <w:t>W</w:t>
                      </w:r>
                      <w:r w:rsidRPr="004D6D24" w:rsidR="003D0ED5">
                        <w:rPr>
                          <w:rFonts w:eastAsia="Calibri" w:cstheme="minorHAnsi"/>
                          <w:b/>
                        </w:rPr>
                        <w:t xml:space="preserve">hat does </w:t>
                      </w:r>
                      <w:r w:rsidRPr="004D6D24" w:rsidR="003D0ED5">
                        <w:rPr>
                          <w:rFonts w:eastAsia="Calibri" w:cstheme="minorHAnsi"/>
                          <w:b/>
                          <w:u w:val="single" w:color="000000"/>
                        </w:rPr>
                        <w:t>not</w:t>
                      </w:r>
                      <w:r w:rsidRPr="004D6D24" w:rsidR="003D0ED5">
                        <w:rPr>
                          <w:rFonts w:eastAsia="Calibri" w:cstheme="minorHAnsi"/>
                          <w:b/>
                        </w:rPr>
                        <w:t xml:space="preserve"> count as exceptional circumstances? </w:t>
                      </w:r>
                    </w:p>
                    <w:p w:rsidRPr="00404F07" w:rsidR="003D0ED5" w:rsidP="00173FDA" w:rsidRDefault="003D0ED5" w14:paraId="75D6B483" w14:textId="77777777">
                      <w:pPr>
                        <w:numPr>
                          <w:ilvl w:val="0"/>
                          <w:numId w:val="1"/>
                        </w:numPr>
                        <w:spacing w:after="248" w:line="240" w:lineRule="auto"/>
                        <w:ind w:hanging="358"/>
                        <w:jc w:val="both"/>
                      </w:pPr>
                      <w:r w:rsidRPr="00404F07">
                        <w:t xml:space="preserve">Concerns about routine childcare/carer responsibilities </w:t>
                      </w:r>
                    </w:p>
                    <w:p w:rsidRPr="00404F07" w:rsidR="003D0ED5" w:rsidP="00173FDA" w:rsidRDefault="003D0ED5" w14:paraId="48D7FCBA" w14:textId="77777777">
                      <w:pPr>
                        <w:numPr>
                          <w:ilvl w:val="0"/>
                          <w:numId w:val="1"/>
                        </w:numPr>
                        <w:spacing w:after="248" w:line="240" w:lineRule="auto"/>
                        <w:ind w:hanging="358"/>
                        <w:jc w:val="both"/>
                      </w:pPr>
                      <w:r w:rsidRPr="00404F07">
                        <w:t xml:space="preserve">Previous experience with the client group </w:t>
                      </w:r>
                    </w:p>
                    <w:p w:rsidRPr="00404F07" w:rsidR="003D0ED5" w:rsidP="00173FDA" w:rsidRDefault="003D0ED5" w14:paraId="21073E38" w14:textId="77777777">
                      <w:pPr>
                        <w:numPr>
                          <w:ilvl w:val="0"/>
                          <w:numId w:val="1"/>
                        </w:numPr>
                        <w:spacing w:after="248" w:line="240" w:lineRule="auto"/>
                        <w:ind w:hanging="358"/>
                        <w:jc w:val="both"/>
                      </w:pPr>
                      <w:r w:rsidRPr="00404F07">
                        <w:t xml:space="preserve">Personal preferences </w:t>
                      </w:r>
                    </w:p>
                    <w:p w:rsidRPr="00404F07" w:rsidR="003D0ED5" w:rsidP="00173FDA" w:rsidRDefault="003D0ED5" w14:paraId="2DEAAB3C" w14:textId="77777777">
                      <w:pPr>
                        <w:numPr>
                          <w:ilvl w:val="0"/>
                          <w:numId w:val="1"/>
                        </w:numPr>
                        <w:spacing w:after="245" w:line="240" w:lineRule="auto"/>
                        <w:ind w:hanging="358"/>
                        <w:jc w:val="both"/>
                      </w:pPr>
                      <w:r w:rsidRPr="00404F07">
                        <w:t xml:space="preserve">Particular interest (or not) in a specific client group </w:t>
                      </w:r>
                    </w:p>
                    <w:p w:rsidRPr="00404F07" w:rsidR="003D0ED5" w:rsidP="00173FDA" w:rsidRDefault="003D0ED5" w14:paraId="1EB7DBD0" w14:textId="1591EA2F">
                      <w:pPr>
                        <w:numPr>
                          <w:ilvl w:val="0"/>
                          <w:numId w:val="1"/>
                        </w:numPr>
                        <w:spacing w:after="248" w:line="240" w:lineRule="auto"/>
                        <w:ind w:hanging="358"/>
                        <w:jc w:val="both"/>
                      </w:pPr>
                      <w:r w:rsidRPr="00404F07">
                        <w:t xml:space="preserve">Concerns over public transport </w:t>
                      </w:r>
                      <w:r w:rsidR="009F13D4">
                        <w:t>and travel</w:t>
                      </w:r>
                    </w:p>
                    <w:p w:rsidRPr="00404F07" w:rsidR="003D0ED5" w:rsidP="00173FDA" w:rsidRDefault="003D0ED5" w14:paraId="0E788B30" w14:textId="210EA3D7">
                      <w:pPr>
                        <w:numPr>
                          <w:ilvl w:val="0"/>
                          <w:numId w:val="1"/>
                        </w:numPr>
                        <w:spacing w:after="249" w:line="240" w:lineRule="auto"/>
                        <w:ind w:hanging="358"/>
                        <w:jc w:val="both"/>
                      </w:pPr>
                      <w:r w:rsidRPr="00404F07">
                        <w:t xml:space="preserve">Concerns </w:t>
                      </w:r>
                      <w:r w:rsidR="009F13D4">
                        <w:t>regarding COVID (unless stipulated in OH report)</w:t>
                      </w:r>
                      <w:r w:rsidRPr="00404F07">
                        <w:t xml:space="preserve"> </w:t>
                      </w:r>
                    </w:p>
                    <w:p w:rsidRPr="00404F07" w:rsidR="003D0ED5" w:rsidP="00173FDA" w:rsidRDefault="003D0ED5" w14:paraId="418074FF" w14:textId="77777777">
                      <w:pPr>
                        <w:numPr>
                          <w:ilvl w:val="0"/>
                          <w:numId w:val="1"/>
                        </w:numPr>
                        <w:spacing w:after="117" w:line="240" w:lineRule="auto"/>
                        <w:ind w:hanging="358"/>
                        <w:jc w:val="both"/>
                      </w:pPr>
                      <w:r w:rsidRPr="00404F07">
                        <w:t xml:space="preserve">Concerns over shift times </w:t>
                      </w:r>
                    </w:p>
                    <w:p w:rsidRPr="00404F07" w:rsidR="003D0ED5" w:rsidP="00173FDA" w:rsidRDefault="003D0ED5" w14:paraId="78153C31" w14:textId="77777777">
                      <w:pPr>
                        <w:numPr>
                          <w:ilvl w:val="0"/>
                          <w:numId w:val="1"/>
                        </w:numPr>
                        <w:spacing w:after="249" w:line="240" w:lineRule="auto"/>
                        <w:ind w:hanging="358"/>
                        <w:jc w:val="both"/>
                      </w:pPr>
                      <w:r w:rsidRPr="00404F07">
                        <w:t xml:space="preserve">Disruptions to shared travel arrangements </w:t>
                      </w:r>
                    </w:p>
                    <w:p w:rsidRPr="00404F07" w:rsidR="003D0ED5" w:rsidP="00173FDA" w:rsidRDefault="003D0ED5" w14:paraId="61B310AB" w14:textId="77777777">
                      <w:pPr>
                        <w:numPr>
                          <w:ilvl w:val="0"/>
                          <w:numId w:val="1"/>
                        </w:numPr>
                        <w:spacing w:after="249" w:line="240" w:lineRule="auto"/>
                        <w:ind w:hanging="358"/>
                        <w:jc w:val="both"/>
                      </w:pPr>
                      <w:r w:rsidRPr="00404F07">
                        <w:t xml:space="preserve">Moving house </w:t>
                      </w:r>
                    </w:p>
                    <w:p w:rsidRPr="00404F07" w:rsidR="003D0ED5" w:rsidP="00173FDA" w:rsidRDefault="003D0ED5" w14:paraId="2D936D7A" w14:textId="77777777">
                      <w:pPr>
                        <w:numPr>
                          <w:ilvl w:val="0"/>
                          <w:numId w:val="1"/>
                        </w:numPr>
                        <w:spacing w:after="248" w:line="240" w:lineRule="auto"/>
                        <w:ind w:hanging="358"/>
                        <w:jc w:val="both"/>
                      </w:pPr>
                      <w:r w:rsidRPr="00404F07">
                        <w:t xml:space="preserve">Risk of adverse weather </w:t>
                      </w:r>
                    </w:p>
                    <w:p w:rsidRPr="00404F07" w:rsidR="003D0ED5" w:rsidP="00173FDA" w:rsidRDefault="003D0ED5" w14:paraId="0BDBB6BE" w14:textId="77777777">
                      <w:pPr>
                        <w:numPr>
                          <w:ilvl w:val="0"/>
                          <w:numId w:val="1"/>
                        </w:numPr>
                        <w:spacing w:after="245" w:line="240" w:lineRule="auto"/>
                        <w:ind w:hanging="358"/>
                        <w:jc w:val="both"/>
                      </w:pPr>
                      <w:r w:rsidRPr="00404F07">
                        <w:t xml:space="preserve">Paid work commitments or constraints arising from paid employment </w:t>
                      </w:r>
                    </w:p>
                    <w:p w:rsidRPr="00404F07" w:rsidR="003D0ED5" w:rsidP="00155883" w:rsidRDefault="003D0ED5" w14:paraId="06FE4D33" w14:textId="77777777">
                      <w:pPr>
                        <w:numPr>
                          <w:ilvl w:val="0"/>
                          <w:numId w:val="1"/>
                        </w:numPr>
                        <w:spacing w:after="247" w:line="240" w:lineRule="auto"/>
                        <w:ind w:hanging="358"/>
                      </w:pPr>
                      <w:r w:rsidRPr="00404F07">
                        <w:t xml:space="preserve">Minor illnesses/conditions (e.g. hay fever) or planned health appointments </w:t>
                      </w:r>
                    </w:p>
                    <w:p w:rsidRPr="00404F07" w:rsidR="003D0ED5" w:rsidP="003D0ED5" w:rsidRDefault="003D0ED5" w14:paraId="64E45D84" w14:textId="77777777">
                      <w:pPr>
                        <w:rPr>
                          <w:lang w:val="en-US"/>
                        </w:rPr>
                      </w:pPr>
                      <w:r w:rsidRPr="00404F07">
                        <w:t>Disabilities for which reasonable adjustments have been made or where the student has experience or time to manage the situation.</w:t>
                      </w:r>
                    </w:p>
                    <w:p w:rsidR="003D0ED5" w:rsidRDefault="003D0ED5" w14:paraId="331E0D40" w14:textId="66DE5623"/>
                  </w:txbxContent>
                </v:textbox>
                <w10:wrap type="through" anchorx="margin"/>
              </v:shape>
            </w:pict>
          </mc:Fallback>
        </mc:AlternateContent>
      </w:r>
      <w:r w:rsidRPr="00915230" w:rsidR="00915230">
        <w:rPr>
          <w:noProof/>
          <w:lang w:eastAsia="en-GB"/>
        </w:rPr>
        <mc:AlternateContent>
          <mc:Choice Requires="wps">
            <w:drawing>
              <wp:anchor distT="45720" distB="45720" distL="114300" distR="114300" simplePos="0" relativeHeight="251664384" behindDoc="0" locked="0" layoutInCell="1" allowOverlap="1" wp14:editId="0B0C677F" wp14:anchorId="68A01C00">
                <wp:simplePos x="0" y="0"/>
                <wp:positionH relativeFrom="margin">
                  <wp:align>right</wp:align>
                </wp:positionH>
                <wp:positionV relativeFrom="paragraph">
                  <wp:posOffset>1905</wp:posOffset>
                </wp:positionV>
                <wp:extent cx="10277475" cy="8001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7475" cy="800100"/>
                        </a:xfrm>
                        <a:prstGeom prst="rect">
                          <a:avLst/>
                        </a:prstGeom>
                        <a:solidFill>
                          <a:srgbClr val="FFFFFF"/>
                        </a:solidFill>
                        <a:ln w="9525">
                          <a:noFill/>
                          <a:miter lim="800000"/>
                          <a:headEnd/>
                          <a:tailEnd/>
                        </a:ln>
                      </wps:spPr>
                      <wps:txbx>
                        <w:txbxContent>
                          <w:p w:rsidRPr="00915230" w:rsidR="00915230" w:rsidP="008A3D21" w:rsidRDefault="00915230" w14:paraId="25A9B095" w14:textId="77777777">
                            <w:pPr>
                              <w:ind w:right="292"/>
                              <w:rPr>
                                <w:b/>
                                <w:bCs/>
                                <w:sz w:val="24"/>
                                <w:szCs w:val="24"/>
                                <w:lang w:val="en-US"/>
                              </w:rPr>
                            </w:pPr>
                            <w:r w:rsidRPr="00915230">
                              <w:rPr>
                                <w:b/>
                                <w:bCs/>
                                <w:sz w:val="24"/>
                                <w:szCs w:val="24"/>
                                <w:lang w:val="en-US"/>
                              </w:rPr>
                              <w:t>FHS - CHANGE OF PLACEMENT PROCEDURE</w:t>
                            </w:r>
                          </w:p>
                          <w:p w:rsidR="00915230" w:rsidP="008A3D21" w:rsidRDefault="00915230" w14:paraId="1879CA7A" w14:textId="11C2F2C3">
                            <w:pPr>
                              <w:ind w:right="292"/>
                            </w:pPr>
                            <w:r>
                              <w:t>Placements are allocated based on Professional Body Standards, Practice Assessor (PA availability) within the placement, and availability within trust.  We also consider distance to placement, ability to drive or public transport, and occupational health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758.05pt;margin-top:.15pt;width:809.25pt;height:63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7SHQIAABwEAAAOAAAAZHJzL2Uyb0RvYy54bWysU9tu2zAMfR+wfxD0vtgxkqU14hRdugwD&#10;ugvQ7gNoWY6FSaInKbG7rx8lp2nQvQ3zg0Ca1OHhIbW+GY1mR+m8Qlvx+SznTFqBjbL7iv943L27&#10;4swHsA1otLLiT9Lzm83bN+uhL2WBHepGOkYg1pdDX/EuhL7MMi86acDPsJeWgi06A4Fct88aBwOh&#10;G50Vef4+G9A1vUMhvae/d1OQbxJ+20oRvrWtl4HpihO3kE6Xzjqe2WYN5d5B3ylxogH/wMKAslT0&#10;DHUHAdjBqb+gjBIOPbZhJtBk2LZKyNQDdTPPX3Xz0EEvUy8kju/PMvn/Byu+Hr87ppqKLzmzYGhE&#10;j3IM7AOOrIjqDL0vKemhp7Qw0m+acurU9/cofnpmcduB3ctb53DoJDTEbh5vZhdXJxwfQerhCzZU&#10;Bg4BE9DYOhOlIzEYodOUns6TiVRELJkXq9ViRRwFBa9y0irNLoPy+XrvfPgk0bBoVNzR6BM8HO99&#10;iHSgfE6J1Txq1eyU1slx+3qrHTsCrckufamDV2nasqHi18timZAtxvtpg4wKtMZamUQun8hBGeX4&#10;aJuUEkDpySYm2p70iZJM4oSxHikxilZj80RKOZzWlZ4XGR2635wNtKoV978O4CRn+rMlta/ni0Xc&#10;7eQslquCHHcZqS8jYAVBVTxwNpnbkN5D1MHiLU2lVUmvFyYnrrSCScbTc4k7fumnrJdHvfkDAAD/&#10;/wMAUEsDBBQABgAIAAAAIQDPAoNB3AAAAAYBAAAPAAAAZHJzL2Rvd25yZXYueG1sTI/BTsMwEETv&#10;SPyDtUhcEHXa0rSEbCpAAnFt6Qds4m0SEa+j2G3Sv8c9wW1HM5p5m28n26kzD751gjCfJaBYKmda&#10;qREO3x+PG1A+kBjqnDDChT1si9ubnDLjRtnxeR9qFUvEZ4TQhNBnWvuqYUt+5nqW6B3dYClEOdTa&#10;DDTGctvpRZKk2lIrcaGhnt8brn72J4tw/BofVs9j+RkO691T+kbtunQXxPu76fUFVOAp/IXhih/R&#10;oYhMpTuJ8apDiI8EhCWoq5fONytQZbwW6RJ0kev/+MUvAAAA//8DAFBLAQItABQABgAIAAAAIQC2&#10;gziS/gAAAOEBAAATAAAAAAAAAAAAAAAAAAAAAABbQ29udGVudF9UeXBlc10ueG1sUEsBAi0AFAAG&#10;AAgAAAAhADj9If/WAAAAlAEAAAsAAAAAAAAAAAAAAAAALwEAAF9yZWxzLy5yZWxzUEsBAi0AFAAG&#10;AAgAAAAhAINDDtIdAgAAHAQAAA4AAAAAAAAAAAAAAAAALgIAAGRycy9lMm9Eb2MueG1sUEsBAi0A&#10;FAAGAAgAAAAhAM8Cg0HcAAAABgEAAA8AAAAAAAAAAAAAAAAAdwQAAGRycy9kb3ducmV2LnhtbFBL&#10;BQYAAAAABAAEAPMAAACABQAAAAA=&#10;" w14:anchorId="68A01C00">
                <v:textbox>
                  <w:txbxContent>
                    <w:p w:rsidRPr="00915230" w:rsidR="00915230" w:rsidP="008A3D21" w:rsidRDefault="00915230" w14:paraId="25A9B095" w14:textId="77777777">
                      <w:pPr>
                        <w:ind w:right="292"/>
                        <w:rPr>
                          <w:b/>
                          <w:bCs/>
                          <w:sz w:val="24"/>
                          <w:szCs w:val="24"/>
                          <w:lang w:val="en-US"/>
                        </w:rPr>
                      </w:pPr>
                      <w:r w:rsidRPr="00915230">
                        <w:rPr>
                          <w:b/>
                          <w:bCs/>
                          <w:sz w:val="24"/>
                          <w:szCs w:val="24"/>
                          <w:lang w:val="en-US"/>
                        </w:rPr>
                        <w:t>FHS - CHANGE OF PLACEMENT PROCEDURE</w:t>
                      </w:r>
                    </w:p>
                    <w:p w:rsidR="00915230" w:rsidP="008A3D21" w:rsidRDefault="00915230" w14:paraId="1879CA7A" w14:textId="11C2F2C3">
                      <w:pPr>
                        <w:ind w:right="292"/>
                      </w:pPr>
                      <w:r>
                        <w:t>Placements are allocated based on Professional Body Standards, Practice Assessor (PA availability) within the placement, and availability within trust.  We also consider distance to placement, ability to drive or public transport, and occupational health needs.</w:t>
                      </w:r>
                    </w:p>
                  </w:txbxContent>
                </v:textbox>
                <w10:wrap type="square" anchorx="margin"/>
              </v:shape>
            </w:pict>
          </mc:Fallback>
        </mc:AlternateContent>
      </w:r>
    </w:p>
    <w:p w:rsidRPr="00915230" w:rsidR="00404F07" w:rsidRDefault="00404F07" w14:paraId="480D9E68" w14:textId="2D522955">
      <w:pPr>
        <w:rPr>
          <w:b/>
          <w:bCs/>
          <w:sz w:val="24"/>
          <w:szCs w:val="24"/>
          <w:lang w:val="en-US"/>
        </w:rPr>
      </w:pPr>
    </w:p>
    <w:p w:rsidR="00404F07" w:rsidRDefault="00404F07" w14:paraId="1B6A2EE3" w14:textId="029AF45C">
      <w:pPr>
        <w:rPr>
          <w:lang w:val="en-US"/>
        </w:rPr>
      </w:pPr>
    </w:p>
    <w:p w:rsidRPr="00404F07" w:rsidR="003D0ED5" w:rsidRDefault="003D0ED5" w14:paraId="53DF1ED8" w14:textId="3D6E04D7">
      <w:pPr>
        <w:rPr>
          <w:lang w:val="en-US"/>
        </w:rPr>
      </w:pPr>
    </w:p>
    <w:p w:rsidRPr="00404F07" w:rsidR="00404F07" w:rsidRDefault="00404F07" w14:paraId="26120EF3" w14:textId="0D182800">
      <w:pPr>
        <w:rPr>
          <w:lang w:val="en-US"/>
        </w:rPr>
      </w:pPr>
    </w:p>
    <w:p w:rsidRPr="00404F07" w:rsidR="00404F07" w:rsidRDefault="00404F07" w14:paraId="741F5EC3" w14:textId="5B18BE68">
      <w:pPr>
        <w:rPr>
          <w:lang w:val="en-US"/>
        </w:rPr>
      </w:pPr>
    </w:p>
    <w:p w:rsidR="003D0ED5" w:rsidP="00404F07" w:rsidRDefault="003D0ED5" w14:paraId="54ED38C2" w14:textId="25AF8B94">
      <w:pPr>
        <w:rPr>
          <w:b/>
        </w:rPr>
      </w:pPr>
    </w:p>
    <w:p w:rsidR="003D0ED5" w:rsidP="00404F07" w:rsidRDefault="003D0ED5" w14:paraId="4E27E43D" w14:textId="57977704">
      <w:pPr>
        <w:rPr>
          <w:b/>
        </w:rPr>
      </w:pPr>
    </w:p>
    <w:p w:rsidR="003D0ED5" w:rsidP="00404F07" w:rsidRDefault="003D0ED5" w14:paraId="248922F9" w14:textId="27BFBFB6">
      <w:pPr>
        <w:rPr>
          <w:b/>
        </w:rPr>
      </w:pPr>
    </w:p>
    <w:p w:rsidR="003D0ED5" w:rsidP="00404F07" w:rsidRDefault="003D0ED5" w14:paraId="374B0C33" w14:textId="3793B51F">
      <w:pPr>
        <w:rPr>
          <w:b/>
        </w:rPr>
      </w:pPr>
    </w:p>
    <w:p w:rsidR="003D0ED5" w:rsidP="00404F07" w:rsidRDefault="003D0ED5" w14:paraId="41FD9A56" w14:textId="041C4F10">
      <w:pPr>
        <w:rPr>
          <w:b/>
        </w:rPr>
      </w:pPr>
    </w:p>
    <w:p w:rsidR="003D0ED5" w:rsidP="00404F07" w:rsidRDefault="003D0ED5" w14:paraId="38AEAEA0" w14:textId="504F6D47">
      <w:pPr>
        <w:rPr>
          <w:b/>
        </w:rPr>
      </w:pPr>
    </w:p>
    <w:p w:rsidR="003D0ED5" w:rsidP="00404F07" w:rsidRDefault="003D0ED5" w14:paraId="38811A67" w14:textId="3A5695DB">
      <w:pPr>
        <w:rPr>
          <w:b/>
        </w:rPr>
      </w:pPr>
    </w:p>
    <w:p w:rsidR="003D0ED5" w:rsidP="00404F07" w:rsidRDefault="003D0ED5" w14:paraId="3AB1656D" w14:textId="5D464363">
      <w:pPr>
        <w:rPr>
          <w:b/>
        </w:rPr>
      </w:pPr>
    </w:p>
    <w:p w:rsidR="003D0ED5" w:rsidP="00404F07" w:rsidRDefault="00155883" w14:paraId="2F6E92AD" w14:textId="1FD2E8F6">
      <w:pPr>
        <w:rPr>
          <w:b/>
        </w:rPr>
      </w:pPr>
      <w:r>
        <w:rPr>
          <w:b/>
          <w:noProof/>
          <w:lang w:eastAsia="en-GB"/>
        </w:rPr>
        <mc:AlternateContent>
          <mc:Choice Requires="wps">
            <w:drawing>
              <wp:anchor distT="0" distB="0" distL="114300" distR="114300" simplePos="0" relativeHeight="251668480" behindDoc="0" locked="0" layoutInCell="1" allowOverlap="1" wp14:editId="1691ADED" wp14:anchorId="0BF93644">
                <wp:simplePos x="0" y="0"/>
                <wp:positionH relativeFrom="column">
                  <wp:posOffset>97155</wp:posOffset>
                </wp:positionH>
                <wp:positionV relativeFrom="paragraph">
                  <wp:posOffset>1410335</wp:posOffset>
                </wp:positionV>
                <wp:extent cx="9915525" cy="8858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9915525" cy="885825"/>
                        </a:xfrm>
                        <a:prstGeom prst="rect">
                          <a:avLst/>
                        </a:prstGeom>
                        <a:solidFill>
                          <a:schemeClr val="lt1"/>
                        </a:solidFill>
                        <a:ln w="6350">
                          <a:noFill/>
                        </a:ln>
                      </wps:spPr>
                      <wps:txbx>
                        <w:txbxContent>
                          <w:p w:rsidRPr="00404F07" w:rsidR="00155883" w:rsidP="00155883" w:rsidRDefault="00155883" w14:paraId="1AE096D8" w14:textId="77777777">
                            <w:r w:rsidRPr="00404F07">
                              <w:rPr>
                                <w:b/>
                              </w:rPr>
                              <w:t xml:space="preserve">Request to Change Placement Form </w:t>
                            </w:r>
                          </w:p>
                          <w:p w:rsidRPr="00404F07" w:rsidR="00155883" w:rsidP="00155883" w:rsidRDefault="00155883" w14:paraId="0E8F4C67" w14:textId="77777777">
                            <w:r w:rsidRPr="00404F07">
                              <w:t xml:space="preserve">Request for a change of placement due to exceptional circumstances must be made by completion of the correct form. The Request to Change Placement form is available via the link below and paper forms will not be accepted: </w:t>
                            </w:r>
                            <w:r>
                              <w:t xml:space="preserve"> </w:t>
                            </w:r>
                            <w:hyperlink r:id="rId8">
                              <w:r w:rsidRPr="00404F07">
                                <w:rPr>
                                  <w:rStyle w:val="Hyperlink"/>
                                  <w:b/>
                                </w:rPr>
                                <w:t>https://forms.office.com/r/Y0EpaeKzDc</w:t>
                              </w:r>
                            </w:hyperlink>
                            <w:hyperlink r:id="rId9">
                              <w:r w:rsidRPr="00404F07">
                                <w:rPr>
                                  <w:rStyle w:val="Hyperlink"/>
                                  <w:b/>
                                </w:rPr>
                                <w:t xml:space="preserve"> </w:t>
                              </w:r>
                            </w:hyperlink>
                          </w:p>
                          <w:p w:rsidRPr="00404F07" w:rsidR="00155883" w:rsidP="00155883" w:rsidRDefault="00155883" w14:paraId="35079723" w14:textId="6F1833FC"/>
                          <w:p w:rsidRPr="00404F07" w:rsidR="00155883" w:rsidP="00155883" w:rsidRDefault="00155883" w14:paraId="7F3DFC2B" w14:textId="77777777">
                            <w:hyperlink r:id="rId10">
                              <w:r w:rsidRPr="00404F07">
                                <w:rPr>
                                  <w:rStyle w:val="Hyperlink"/>
                                  <w:b/>
                                </w:rPr>
                                <w:t>https://forms.office.com/r/Y0EpaeKzDc</w:t>
                              </w:r>
                            </w:hyperlink>
                            <w:hyperlink r:id="rId11">
                              <w:r w:rsidRPr="00404F07">
                                <w:rPr>
                                  <w:rStyle w:val="Hyperlink"/>
                                  <w:b/>
                                </w:rPr>
                                <w:t xml:space="preserve"> </w:t>
                              </w:r>
                            </w:hyperlink>
                          </w:p>
                          <w:p w:rsidR="00155883" w:rsidRDefault="00155883" w14:paraId="40743B6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style="position:absolute;margin-left:7.65pt;margin-top:111.05pt;width:780.75pt;height:69.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IFRAIAAIAEAAAOAAAAZHJzL2Uyb0RvYy54bWysVMGO2jAQvVfqP1i+l0BKthARVpQVVSW0&#10;uxKs9mwcm0RyPK5tSOjXd+wAS7c9Vb2Y8czkeea9GWb3XaPIUVhXgy7oaDCkRGgOZa33BX3Zrj5N&#10;KHGe6ZIp0KKgJ+Ho/fzjh1lrcpFCBaoUliCIdnlrClp5b/IkcbwSDXMDMEJjUIJtmMer3SelZS2i&#10;NypJh8O7pAVbGgtcOIfehz5I5xFfSsH9k5ROeKIKirX5eNp47sKZzGcs31tmqpqfy2D/UEXDao2P&#10;XqEemGfkYOs/oJqaW3Ag/YBDk4CUNRexB+xmNHzXzaZiRsRekBxnrjS5/wfLH4/PltRlQVNKNGtQ&#10;oq3oPPkKHUkDO61xOSZtDKb5Dt2o8sXv0Bma7qRtwi+2QzCOPJ+u3AYwjs7pdJRlaUYJx9hkkk3Q&#10;Rvjk7Wtjnf8moCHBKKhF7SKl7Lh2vk+9pITHHKi6XNVKxUuYF7FUlhwZKq18rBHBf8tSmrQFvfuc&#10;DSOwhvB5j6w01hJ67XsKlu92XWRmfOl3B+UJabDQj5EzfFVjrWvm/DOzODfYOe6Cf8JDKsC34GxR&#10;UoH9+Td/yEc5MUpJi3NYUPfjwKygRH3XKPR0NB6HwY2XcfYlxYu9jexuI/rQLAEJGOHWGR7NkO/V&#10;xZQWmldcmUV4FUNMc3y7oP5iLn2/HbhyXCwWMQlH1TC/1hvDA3QgPCix7V6ZNWe5PAr9CJeJZfk7&#10;1frc8KWGxcGDrKOkgeee1TP9OOZxKM4rGfbo9h6z3v445r8AAAD//wMAUEsDBBQABgAIAAAAIQCm&#10;xNBp4QAAAAsBAAAPAAAAZHJzL2Rvd25yZXYueG1sTI/LTsMwEEX3SPyDNUhsEHUeaopCnAohHhK7&#10;NjzEzo2HJCIeR7GbhL9nuoLl1RzdObfYLrYXE46+c6QgXkUgkGpnOmoUvFaP1zcgfNBkdO8IFfyg&#10;h215flbo3LiZdjjtQyO4hHyuFbQhDLmUvm7Rar9yAxLfvtxodeA4NtKMeuZy28skijJpdUf8odUD&#10;3rdYf++PVsHnVfPx4pentzldp8PD81Rt3k2l1OXFcncLIuAS/mA46bM6lOx0cEcyXvSc1ymTCpIk&#10;iUGcgPUm4zEHBWkWZyDLQv7fUP4CAAD//wMAUEsBAi0AFAAGAAgAAAAhALaDOJL+AAAA4QEAABMA&#10;AAAAAAAAAAAAAAAAAAAAAFtDb250ZW50X1R5cGVzXS54bWxQSwECLQAUAAYACAAAACEAOP0h/9YA&#10;AACUAQAACwAAAAAAAAAAAAAAAAAvAQAAX3JlbHMvLnJlbHNQSwECLQAUAAYACAAAACEAZb4SBUQC&#10;AACABAAADgAAAAAAAAAAAAAAAAAuAgAAZHJzL2Uyb0RvYy54bWxQSwECLQAUAAYACAAAACEApsTQ&#10;aeEAAAALAQAADwAAAAAAAAAAAAAAAACeBAAAZHJzL2Rvd25yZXYueG1sUEsFBgAAAAAEAAQA8wAA&#10;AKwFAAAAAA==&#10;" w14:anchorId="0BF93644">
                <v:textbox>
                  <w:txbxContent>
                    <w:p w:rsidRPr="00404F07" w:rsidR="00155883" w:rsidP="00155883" w:rsidRDefault="00155883" w14:paraId="1AE096D8" w14:textId="77777777">
                      <w:r w:rsidRPr="00404F07">
                        <w:rPr>
                          <w:b/>
                        </w:rPr>
                        <w:t xml:space="preserve">Request to Change Placement Form </w:t>
                      </w:r>
                    </w:p>
                    <w:p w:rsidRPr="00404F07" w:rsidR="00155883" w:rsidP="00155883" w:rsidRDefault="00155883" w14:paraId="0E8F4C67" w14:textId="77777777">
                      <w:r w:rsidRPr="00404F07">
                        <w:t xml:space="preserve">Request for a change of placement due to exceptional circumstances must be made by completion of the correct form. The Request to Change Placement form is available via the link below and paper forms will not be accepted: </w:t>
                      </w:r>
                      <w:r>
                        <w:t xml:space="preserve"> </w:t>
                      </w:r>
                      <w:hyperlink r:id="rId12">
                        <w:r w:rsidRPr="00404F07">
                          <w:rPr>
                            <w:rStyle w:val="Hyperlink"/>
                            <w:b/>
                          </w:rPr>
                          <w:t>https://forms.office.com/r/Y0EpaeKzDc</w:t>
                        </w:r>
                      </w:hyperlink>
                      <w:hyperlink r:id="rId13">
                        <w:r w:rsidRPr="00404F07">
                          <w:rPr>
                            <w:rStyle w:val="Hyperlink"/>
                            <w:b/>
                          </w:rPr>
                          <w:t xml:space="preserve"> </w:t>
                        </w:r>
                      </w:hyperlink>
                    </w:p>
                    <w:p w:rsidRPr="00404F07" w:rsidR="00155883" w:rsidP="00155883" w:rsidRDefault="00155883" w14:paraId="35079723" w14:textId="6F1833FC"/>
                    <w:p w:rsidRPr="00404F07" w:rsidR="00155883" w:rsidP="00155883" w:rsidRDefault="00155883" w14:paraId="7F3DFC2B" w14:textId="77777777">
                      <w:hyperlink r:id="rId14">
                        <w:r w:rsidRPr="00404F07">
                          <w:rPr>
                            <w:rStyle w:val="Hyperlink"/>
                            <w:b/>
                          </w:rPr>
                          <w:t>https://forms.office.com/r/Y0EpaeKzDc</w:t>
                        </w:r>
                      </w:hyperlink>
                      <w:hyperlink r:id="rId15">
                        <w:r w:rsidRPr="00404F07">
                          <w:rPr>
                            <w:rStyle w:val="Hyperlink"/>
                            <w:b/>
                          </w:rPr>
                          <w:t xml:space="preserve"> </w:t>
                        </w:r>
                      </w:hyperlink>
                    </w:p>
                    <w:p w:rsidR="00155883" w:rsidRDefault="00155883" w14:paraId="40743B67" w14:textId="77777777"/>
                  </w:txbxContent>
                </v:textbox>
              </v:shape>
            </w:pict>
          </mc:Fallback>
        </mc:AlternateContent>
      </w:r>
    </w:p>
    <w:p w:rsidR="00404F07" w:rsidRDefault="008A3D21" w14:paraId="1AD359C7" w14:textId="3FD1D225">
      <w:pPr>
        <w:rPr>
          <w:lang w:val="en-US"/>
        </w:rPr>
      </w:pPr>
      <w:bookmarkStart w:name="_GoBack" w:id="0"/>
      <w:r>
        <w:rPr>
          <w:noProof/>
          <w:lang w:eastAsia="en-GB"/>
        </w:rPr>
        <w:lastRenderedPageBreak/>
        <w:drawing>
          <wp:anchor distT="0" distB="0" distL="114300" distR="114300" simplePos="0" relativeHeight="251667456" behindDoc="0" locked="0" layoutInCell="1" allowOverlap="1" wp14:editId="04029477" wp14:anchorId="1102FE88">
            <wp:simplePos x="0" y="0"/>
            <wp:positionH relativeFrom="margin">
              <wp:align>left</wp:align>
            </wp:positionH>
            <wp:positionV relativeFrom="paragraph">
              <wp:posOffset>11430</wp:posOffset>
            </wp:positionV>
            <wp:extent cx="10058400" cy="6257925"/>
            <wp:effectExtent l="0" t="0" r="0" b="0"/>
            <wp:wrapThrough wrapText="bothSides">
              <wp:wrapPolygon edited="0">
                <wp:start x="0" y="4142"/>
                <wp:lineTo x="0" y="17425"/>
                <wp:lineTo x="21314" y="17425"/>
                <wp:lineTo x="21559" y="15847"/>
                <wp:lineTo x="21559" y="14005"/>
                <wp:lineTo x="21068" y="13940"/>
                <wp:lineTo x="18245" y="13742"/>
                <wp:lineTo x="20045" y="13085"/>
                <wp:lineTo x="20005" y="12690"/>
                <wp:lineTo x="20168" y="11901"/>
                <wp:lineTo x="20045" y="11704"/>
                <wp:lineTo x="19391" y="11638"/>
                <wp:lineTo x="20209" y="11178"/>
                <wp:lineTo x="20045" y="10586"/>
                <wp:lineTo x="19800" y="10455"/>
                <wp:lineTo x="19800" y="9666"/>
                <wp:lineTo x="19432" y="9534"/>
                <wp:lineTo x="20291" y="9205"/>
                <wp:lineTo x="20291" y="7233"/>
                <wp:lineTo x="19882" y="7036"/>
                <wp:lineTo x="17182" y="6378"/>
                <wp:lineTo x="17223" y="5326"/>
                <wp:lineTo x="17509" y="4142"/>
                <wp:lineTo x="0" y="4142"/>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58400" cy="6257925"/>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404F07" w:rsidRDefault="00404F07" w14:paraId="49178834" w14:textId="696324E3">
      <w:pPr>
        <w:rPr>
          <w:lang w:val="en-US"/>
        </w:rPr>
      </w:pPr>
    </w:p>
    <w:p w:rsidRPr="00404F07" w:rsidR="00C001E0" w:rsidRDefault="00404F07" w14:paraId="74CA5D94" w14:textId="0941C6E5">
      <w:pPr>
        <w:rPr>
          <w:lang w:val="en-US"/>
        </w:rPr>
      </w:pPr>
      <w:r>
        <w:rPr>
          <w:noProof/>
          <w:lang w:eastAsia="en-GB"/>
        </w:rPr>
        <w:drawing>
          <wp:anchor distT="0" distB="0" distL="114300" distR="114300" simplePos="0" relativeHeight="251658240" behindDoc="0" locked="0" layoutInCell="1" allowOverlap="1" wp14:editId="324B1D82" wp14:anchorId="682EFB0F">
            <wp:simplePos x="0" y="0"/>
            <wp:positionH relativeFrom="column">
              <wp:posOffset>-704850</wp:posOffset>
            </wp:positionH>
            <wp:positionV relativeFrom="paragraph">
              <wp:posOffset>6753225</wp:posOffset>
            </wp:positionV>
            <wp:extent cx="7162800" cy="27799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710" cy="2792343"/>
                    </a:xfrm>
                    <a:prstGeom prst="rect">
                      <a:avLst/>
                    </a:prstGeom>
                    <a:noFill/>
                  </pic:spPr>
                </pic:pic>
              </a:graphicData>
            </a:graphic>
            <wp14:sizeRelH relativeFrom="page">
              <wp14:pctWidth>0</wp14:pctWidth>
            </wp14:sizeRelH>
            <wp14:sizeRelV relativeFrom="page">
              <wp14:pctHeight>0</wp14:pctHeight>
            </wp14:sizeRelV>
          </wp:anchor>
        </w:drawing>
      </w:r>
    </w:p>
    <w:sectPr w:rsidRPr="00404F07" w:rsidR="00C001E0" w:rsidSect="008A3D2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72957" w14:textId="77777777" w:rsidR="00404F07" w:rsidRDefault="00404F07" w:rsidP="00404F07">
      <w:pPr>
        <w:spacing w:after="0" w:line="240" w:lineRule="auto"/>
      </w:pPr>
      <w:r>
        <w:separator/>
      </w:r>
    </w:p>
  </w:endnote>
  <w:endnote w:type="continuationSeparator" w:id="0">
    <w:p w14:paraId="62B7BBD6" w14:textId="77777777" w:rsidR="00404F07" w:rsidRDefault="00404F07" w:rsidP="0040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2FE3F" w14:textId="77777777" w:rsidR="00404F07" w:rsidRDefault="00404F07" w:rsidP="00404F07">
      <w:pPr>
        <w:spacing w:after="0" w:line="240" w:lineRule="auto"/>
      </w:pPr>
      <w:r>
        <w:separator/>
      </w:r>
    </w:p>
  </w:footnote>
  <w:footnote w:type="continuationSeparator" w:id="0">
    <w:p w14:paraId="2DAAAB11" w14:textId="77777777" w:rsidR="00404F07" w:rsidRDefault="00404F07" w:rsidP="00404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60B9"/>
    <w:multiLevelType w:val="hybridMultilevel"/>
    <w:tmpl w:val="A5121336"/>
    <w:lvl w:ilvl="0" w:tplc="0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5B452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FE83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64D9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507E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18F1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D46B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9AC4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8ECF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AE0134"/>
    <w:multiLevelType w:val="hybridMultilevel"/>
    <w:tmpl w:val="88746CAA"/>
    <w:lvl w:ilvl="0" w:tplc="0E1A6CF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E633F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D016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3CAAE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A4BF8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E04F2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0CC9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EC52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7C508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07"/>
    <w:rsid w:val="00054033"/>
    <w:rsid w:val="001037BC"/>
    <w:rsid w:val="00155883"/>
    <w:rsid w:val="00173FDA"/>
    <w:rsid w:val="001819B4"/>
    <w:rsid w:val="003036F8"/>
    <w:rsid w:val="003D0ED5"/>
    <w:rsid w:val="003F4AC1"/>
    <w:rsid w:val="00404F07"/>
    <w:rsid w:val="004D6D24"/>
    <w:rsid w:val="00533857"/>
    <w:rsid w:val="006D533C"/>
    <w:rsid w:val="007F5D30"/>
    <w:rsid w:val="008A3D21"/>
    <w:rsid w:val="00915230"/>
    <w:rsid w:val="009F13D4"/>
    <w:rsid w:val="00B14310"/>
    <w:rsid w:val="00C001E0"/>
    <w:rsid w:val="00CD1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3C7BFC"/>
  <w15:chartTrackingRefBased/>
  <w15:docId w15:val="{F903E189-4C81-4BFA-960A-D4ACEAA9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F07"/>
  </w:style>
  <w:style w:type="paragraph" w:styleId="Footer">
    <w:name w:val="footer"/>
    <w:basedOn w:val="Normal"/>
    <w:link w:val="FooterChar"/>
    <w:uiPriority w:val="99"/>
    <w:unhideWhenUsed/>
    <w:rsid w:val="00404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F07"/>
  </w:style>
  <w:style w:type="character" w:styleId="Hyperlink">
    <w:name w:val="Hyperlink"/>
    <w:basedOn w:val="DefaultParagraphFont"/>
    <w:uiPriority w:val="99"/>
    <w:unhideWhenUsed/>
    <w:rsid w:val="00404F07"/>
    <w:rPr>
      <w:color w:val="0563C1" w:themeColor="hyperlink"/>
      <w:u w:val="single"/>
    </w:rPr>
  </w:style>
  <w:style w:type="character" w:customStyle="1" w:styleId="UnresolvedMention">
    <w:name w:val="Unresolved Mention"/>
    <w:basedOn w:val="DefaultParagraphFont"/>
    <w:uiPriority w:val="99"/>
    <w:semiHidden/>
    <w:unhideWhenUsed/>
    <w:rsid w:val="00404F07"/>
    <w:rPr>
      <w:color w:val="605E5C"/>
      <w:shd w:val="clear" w:color="auto" w:fill="E1DFDD"/>
    </w:rPr>
  </w:style>
  <w:style w:type="paragraph" w:styleId="ListParagraph">
    <w:name w:val="List Paragraph"/>
    <w:basedOn w:val="Normal"/>
    <w:uiPriority w:val="34"/>
    <w:qFormat/>
    <w:rsid w:val="0015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Y0EpaeKzDc" TargetMode="External"/><Relationship Id="rId13" Type="http://schemas.openxmlformats.org/officeDocument/2006/relationships/hyperlink" Target="https://forms.office.com/r/Y0EpaeKzD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r/Y0EpaeKzDc"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Y0EpaeKzDc" TargetMode="External"/><Relationship Id="rId5" Type="http://schemas.openxmlformats.org/officeDocument/2006/relationships/webSettings" Target="webSettings.xml"/><Relationship Id="rId15" Type="http://schemas.openxmlformats.org/officeDocument/2006/relationships/hyperlink" Target="https://forms.office.com/r/Y0EpaeKzDc" TargetMode="External"/><Relationship Id="rId10" Type="http://schemas.openxmlformats.org/officeDocument/2006/relationships/hyperlink" Target="https://forms.office.com/r/Y0EpaeKzD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office.com/r/Y0EpaeKzDc" TargetMode="External"/><Relationship Id="rId14" Type="http://schemas.openxmlformats.org/officeDocument/2006/relationships/hyperlink" Target="https://forms.office.com/r/Y0EpaeKz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F5383-BECA-4D20-B867-67CB033A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FHS - CHANGE OF PLACEMENT PROCEDURE</vt:lpstr>
    </vt:vector>
  </TitlesOfParts>
  <Company>University of Hull</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 - Change of Placement Procedure</dc:title>
  <dc:subject>
  </dc:subject>
  <dc:creator>Jack R Shimells</dc:creator>
  <cp:keywords>
  </cp:keywords>
  <dc:description>
  </dc:description>
  <cp:lastModifiedBy>Chris Kerry</cp:lastModifiedBy>
  <cp:revision>2</cp:revision>
  <cp:lastPrinted>2023-01-19T11:28:00Z</cp:lastPrinted>
  <dcterms:created xsi:type="dcterms:W3CDTF">2023-01-24T09:03:00Z</dcterms:created>
  <dcterms:modified xsi:type="dcterms:W3CDTF">2023-03-09T17:00:32Z</dcterms:modified>
</cp:coreProperties>
</file>