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C43252" w:rsidRDefault="00D10763" w14:paraId="5E21FA60" w14:textId="77777777">
      <w:pPr>
        <w:tabs>
          <w:tab w:val="left" w:pos="3420"/>
        </w:tabs>
        <w:jc w:val="center"/>
        <w:rPr>
          <w:b/>
          <w:sz w:val="24"/>
        </w:rPr>
      </w:pPr>
    </w:p>
    <w:p w:rsidRPr="00137EBE" w:rsidR="00DC5030" w:rsidP="00986235" w:rsidRDefault="00986235" w14:paraId="588F1934" w14:textId="77777777">
      <w:pPr>
        <w:tabs>
          <w:tab w:val="left" w:pos="3420"/>
        </w:tabs>
        <w:jc w:val="center"/>
        <w:rPr>
          <w:rFonts w:asciiTheme="minorHAnsi" w:hAnsiTheme="minorHAnsi"/>
          <w:b/>
          <w:sz w:val="28"/>
          <w:szCs w:val="28"/>
        </w:rPr>
      </w:pPr>
      <w:r>
        <w:rPr>
          <w:rFonts w:asciiTheme="minorHAnsi" w:hAnsiTheme="minorHAnsi"/>
          <w:b/>
          <w:sz w:val="28"/>
          <w:szCs w:val="28"/>
        </w:rPr>
        <w:t xml:space="preserve">QUALITY </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8542A2" w14:paraId="7660BAC2" w14:textId="6F7D4679">
      <w:pPr>
        <w:tabs>
          <w:tab w:val="left" w:pos="3420"/>
        </w:tabs>
        <w:jc w:val="center"/>
        <w:rPr>
          <w:rFonts w:asciiTheme="minorHAnsi" w:hAnsiTheme="minorHAnsi"/>
          <w:b/>
          <w:sz w:val="28"/>
          <w:szCs w:val="28"/>
        </w:rPr>
      </w:pPr>
      <w:r w:rsidRPr="00137EBE">
        <w:rPr>
          <w:rFonts w:asciiTheme="minorHAnsi" w:hAnsiTheme="minorHAnsi"/>
          <w:b/>
          <w:sz w:val="28"/>
          <w:szCs w:val="28"/>
        </w:rPr>
        <w:t xml:space="preserve">Issue </w:t>
      </w:r>
      <w:r w:rsidRPr="00137EBE" w:rsidR="006A405A">
        <w:rPr>
          <w:rFonts w:asciiTheme="minorHAnsi" w:hAnsiTheme="minorHAnsi"/>
          <w:b/>
          <w:sz w:val="28"/>
          <w:szCs w:val="28"/>
        </w:rPr>
        <w:t>0</w:t>
      </w:r>
      <w:r w:rsidR="00EA500B">
        <w:rPr>
          <w:rFonts w:asciiTheme="minorHAnsi" w:hAnsiTheme="minorHAnsi"/>
          <w:b/>
          <w:sz w:val="28"/>
          <w:szCs w:val="28"/>
        </w:rPr>
        <w:t>4</w:t>
      </w:r>
      <w:r w:rsidR="00687F85">
        <w:rPr>
          <w:rFonts w:asciiTheme="minorHAnsi" w:hAnsiTheme="minorHAnsi"/>
          <w:b/>
          <w:sz w:val="28"/>
          <w:szCs w:val="28"/>
        </w:rPr>
        <w:t xml:space="preserve"> – 2022/23</w:t>
      </w:r>
      <w:r w:rsidRPr="00137EBE" w:rsidR="009046A9">
        <w:rPr>
          <w:rFonts w:asciiTheme="minorHAnsi" w:hAnsiTheme="minorHAnsi"/>
          <w:b/>
          <w:sz w:val="28"/>
          <w:szCs w:val="28"/>
        </w:rPr>
        <w:t xml:space="preserve"> (</w:t>
      </w:r>
      <w:r w:rsidR="00EA500B">
        <w:rPr>
          <w:rFonts w:asciiTheme="minorHAnsi" w:hAnsiTheme="minorHAnsi"/>
          <w:b/>
          <w:sz w:val="28"/>
          <w:szCs w:val="28"/>
        </w:rPr>
        <w:t xml:space="preserve">May </w:t>
      </w:r>
      <w:r w:rsidR="00FE31E8">
        <w:rPr>
          <w:rFonts w:asciiTheme="minorHAnsi" w:hAnsiTheme="minorHAnsi"/>
          <w:b/>
          <w:sz w:val="28"/>
          <w:szCs w:val="28"/>
        </w:rPr>
        <w:t>2023</w:t>
      </w:r>
      <w:r w:rsidR="00904CAD">
        <w:rPr>
          <w:rFonts w:asciiTheme="minorHAnsi" w:hAnsiTheme="minorHAnsi"/>
          <w:b/>
          <w:sz w:val="28"/>
          <w:szCs w:val="28"/>
        </w:rPr>
        <w:t>)</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3F6DCF24">
      <w:pPr>
        <w:tabs>
          <w:tab w:val="left" w:pos="3420"/>
        </w:tabs>
        <w:rPr>
          <w:rFonts w:asciiTheme="minorHAnsi" w:hAnsiTheme="minorHAnsi"/>
          <w:sz w:val="22"/>
          <w:szCs w:val="22"/>
        </w:rPr>
      </w:pPr>
      <w:r w:rsidRPr="00137EBE">
        <w:rPr>
          <w:rFonts w:asciiTheme="minorHAnsi" w:hAnsiTheme="minorHAnsi"/>
          <w:sz w:val="22"/>
          <w:szCs w:val="22"/>
        </w:rPr>
        <w:t xml:space="preserve">This document shows the status of all current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Pr="00904CAD" w:rsidR="005A7424">
        <w:rPr>
          <w:rFonts w:asciiTheme="minorHAnsi" w:hAnsiTheme="minorHAnsi"/>
          <w:sz w:val="22"/>
          <w:szCs w:val="22"/>
        </w:rPr>
        <w:t>up</w:t>
      </w:r>
      <w:r w:rsidRPr="00904CAD" w:rsidR="007F55C3">
        <w:rPr>
          <w:rFonts w:asciiTheme="minorHAnsi" w:hAnsiTheme="minorHAnsi"/>
          <w:sz w:val="22"/>
          <w:szCs w:val="22"/>
        </w:rPr>
        <w:t xml:space="preserve"> to </w:t>
      </w:r>
      <w:r w:rsidR="00EA500B">
        <w:rPr>
          <w:rFonts w:asciiTheme="minorHAnsi" w:hAnsiTheme="minorHAnsi"/>
          <w:sz w:val="22"/>
          <w:szCs w:val="22"/>
        </w:rPr>
        <w:t>22</w:t>
      </w:r>
      <w:r w:rsidRPr="00EA500B" w:rsidR="00EA500B">
        <w:rPr>
          <w:rFonts w:asciiTheme="minorHAnsi" w:hAnsiTheme="minorHAnsi"/>
          <w:sz w:val="22"/>
          <w:szCs w:val="22"/>
          <w:vertAlign w:val="superscript"/>
        </w:rPr>
        <w:t>nd</w:t>
      </w:r>
      <w:r w:rsidR="00EA500B">
        <w:rPr>
          <w:rFonts w:asciiTheme="minorHAnsi" w:hAnsiTheme="minorHAnsi"/>
          <w:sz w:val="22"/>
          <w:szCs w:val="22"/>
        </w:rPr>
        <w:t xml:space="preserve"> May</w:t>
      </w:r>
      <w:r w:rsidR="00FE31E8">
        <w:rPr>
          <w:rFonts w:asciiTheme="minorHAnsi" w:hAnsiTheme="minorHAnsi"/>
          <w:sz w:val="22"/>
          <w:szCs w:val="22"/>
        </w:rPr>
        <w:t xml:space="preserve"> 2023</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137EBE" w:rsidR="002819A0" w:rsidP="002819A0" w:rsidRDefault="002819A0" w14:paraId="08987471" w14:textId="77777777">
      <w:pPr>
        <w:tabs>
          <w:tab w:val="left" w:pos="3420"/>
        </w:tabs>
        <w:rPr>
          <w:rFonts w:asciiTheme="minorHAnsi" w:hAnsiTheme="minorHAnsi"/>
          <w:b/>
          <w:sz w:val="22"/>
          <w:szCs w:val="22"/>
          <w:u w:val="single"/>
        </w:rPr>
      </w:pPr>
      <w:r w:rsidRPr="00137EBE">
        <w:rPr>
          <w:rFonts w:asciiTheme="minorHAnsi" w:hAnsiTheme="minorHAnsi"/>
          <w:b/>
          <w:sz w:val="22"/>
          <w:szCs w:val="22"/>
          <w:u w:val="single"/>
        </w:rPr>
        <w:t>Quality and Standards Framework Developments</w:t>
      </w:r>
    </w:p>
    <w:p w:rsidRPr="00137EBE" w:rsidR="004A7043" w:rsidP="000E6DEB" w:rsidRDefault="009205F2" w14:paraId="5BB7C22E" w14:textId="77777777">
      <w:pPr>
        <w:spacing w:before="120" w:after="120"/>
        <w:rPr>
          <w:rFonts w:asciiTheme="minorHAnsi" w:hAnsiTheme="minorHAnsi"/>
          <w:sz w:val="22"/>
          <w:szCs w:val="22"/>
        </w:rPr>
      </w:pPr>
      <w:r w:rsidRPr="00137EBE">
        <w:rPr>
          <w:rFonts w:asciiTheme="minorHAnsi" w:hAnsiTheme="minorHAnsi"/>
          <w:sz w:val="22"/>
          <w:szCs w:val="22"/>
        </w:rPr>
        <w:t xml:space="preserve">Feedback on this document is welcomed and should be sent to </w:t>
      </w:r>
      <w:r w:rsidRPr="00137EBE" w:rsidR="00BA4A37">
        <w:rPr>
          <w:rFonts w:asciiTheme="minorHAnsi" w:hAnsiTheme="minorHAnsi"/>
          <w:sz w:val="22"/>
          <w:szCs w:val="22"/>
        </w:rPr>
        <w:t>Lisa Tees (</w:t>
      </w:r>
      <w:hyperlink w:history="1" r:id="rId8">
        <w:r w:rsidRPr="00137EBE" w:rsidR="004A7043">
          <w:rPr>
            <w:rStyle w:val="Hyperlink"/>
            <w:rFonts w:asciiTheme="minorHAnsi" w:hAnsiTheme="minorHAnsi"/>
            <w:sz w:val="22"/>
            <w:szCs w:val="22"/>
          </w:rPr>
          <w:t>L.Tees@hull.ac.uk</w:t>
        </w:r>
      </w:hyperlink>
      <w:r w:rsidRPr="00137EBE" w:rsidR="00BA4A37">
        <w:rPr>
          <w:rFonts w:asciiTheme="minorHAnsi" w:hAnsiTheme="minorHAnsi"/>
          <w:sz w:val="22"/>
          <w:szCs w:val="22"/>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F5398F" w14:paraId="0BE0BB6A" w14:textId="77777777">
          <w:pPr>
            <w:pStyle w:val="NEW"/>
            <w:rPr>
              <w:rStyle w:val="arial12"/>
              <w:rFonts w:asciiTheme="minorHAnsi" w:hAnsiTheme="minorHAnsi"/>
              <w:noProof/>
            </w:rPr>
          </w:pPr>
          <w:hyperlink w:history="1" w:anchor="Approved">
            <w:r w:rsidRPr="00D7304F" w:rsidR="003A3F88">
              <w:rPr>
                <w:rStyle w:val="arial12"/>
                <w:rFonts w:asciiTheme="minorHAnsi" w:hAnsiTheme="minorHAnsi"/>
                <w:sz w:val="32"/>
              </w:rPr>
              <w:t>APPROVED AMENDMENTS TO THE QUALITY AND STANDARDS FRAMEWORK</w:t>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137EBE">
              <w:rPr>
                <w:rStyle w:val="arial12"/>
                <w:rFonts w:asciiTheme="minorHAnsi" w:hAnsiTheme="minorHAnsi"/>
              </w:rPr>
              <w:tab/>
            </w:r>
            <w:r w:rsidRPr="00D7304F" w:rsidR="00137EBE">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hyperlink>
        </w:p>
        <w:p w:rsidRPr="00E95B6C" w:rsidR="00E95B6C" w:rsidRDefault="00266D56" w14:paraId="1F60BB41" w14:textId="514BACF9">
          <w:pPr>
            <w:pStyle w:val="TOC2"/>
            <w:rPr>
              <w:rFonts w:asciiTheme="minorHAnsi" w:hAnsiTheme="minorHAnsi" w:eastAsiaTheme="minorEastAsia" w:cstheme="minorBidi"/>
              <w:smallCaps w:val="0"/>
              <w:noProof/>
              <w:color w:val="0070C0"/>
              <w:sz w:val="24"/>
            </w:rPr>
          </w:pPr>
          <w:r w:rsidRPr="00EF296F">
            <w:rPr>
              <w:rStyle w:val="arial12"/>
              <w:rFonts w:asciiTheme="minorHAnsi" w:hAnsiTheme="minorHAnsi"/>
              <w:color w:val="2E74B5" w:themeColor="accent1" w:themeShade="BF"/>
              <w:sz w:val="28"/>
              <w:szCs w:val="28"/>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asciiTheme="minorHAnsi" w:hAnsiTheme="minorHAnsi"/>
              <w:color w:val="2E74B5" w:themeColor="accent1" w:themeShade="BF"/>
              <w:sz w:val="28"/>
              <w:szCs w:val="28"/>
            </w:rPr>
            <w:fldChar w:fldCharType="separate"/>
          </w:r>
          <w:hyperlink w:history="1" w:anchor="_Toc137199602">
            <w:r w:rsidRPr="00E95B6C" w:rsidR="00E95B6C">
              <w:rPr>
                <w:rStyle w:val="Hyperlink"/>
                <w:rFonts w:cs="Arial"/>
                <w:iCs/>
                <w:noProof/>
                <w:color w:val="0070C0"/>
                <w:sz w:val="24"/>
              </w:rPr>
              <w:t>PROGRAMME REGULATIONS</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_Toc137199602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3</w:t>
            </w:r>
            <w:r w:rsidRPr="00E95B6C" w:rsidR="00E95B6C">
              <w:rPr>
                <w:noProof/>
                <w:webHidden/>
                <w:color w:val="0070C0"/>
                <w:sz w:val="24"/>
              </w:rPr>
              <w:fldChar w:fldCharType="end"/>
            </w:r>
          </w:hyperlink>
        </w:p>
        <w:p w:rsidRPr="00E95B6C" w:rsidR="00E95B6C" w:rsidRDefault="00F5398F" w14:paraId="5CFC78E4" w14:textId="196DF139">
          <w:pPr>
            <w:pStyle w:val="TOC2"/>
            <w:rPr>
              <w:rFonts w:asciiTheme="minorHAnsi" w:hAnsiTheme="minorHAnsi" w:eastAsiaTheme="minorEastAsia" w:cstheme="minorBidi"/>
              <w:smallCaps w:val="0"/>
              <w:noProof/>
              <w:color w:val="0070C0"/>
              <w:sz w:val="24"/>
            </w:rPr>
          </w:pPr>
          <w:hyperlink w:history="1" w:anchor="_Toc137199603">
            <w:r w:rsidRPr="00E95B6C" w:rsidR="00E95B6C">
              <w:rPr>
                <w:rStyle w:val="Hyperlink"/>
                <w:noProof/>
                <w:color w:val="0070C0"/>
                <w:sz w:val="24"/>
              </w:rPr>
              <w:t>COLLABORATIVE PROVISION</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_Toc137199603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3</w:t>
            </w:r>
            <w:r w:rsidRPr="00E95B6C" w:rsidR="00E95B6C">
              <w:rPr>
                <w:noProof/>
                <w:webHidden/>
                <w:color w:val="0070C0"/>
                <w:sz w:val="24"/>
              </w:rPr>
              <w:fldChar w:fldCharType="end"/>
            </w:r>
          </w:hyperlink>
        </w:p>
        <w:p w:rsidRPr="00E95B6C" w:rsidR="00E95B6C" w:rsidRDefault="00F5398F" w14:paraId="5CB69938" w14:textId="286C3C19">
          <w:pPr>
            <w:pStyle w:val="TOC2"/>
            <w:rPr>
              <w:rFonts w:asciiTheme="minorHAnsi" w:hAnsiTheme="minorHAnsi" w:eastAsiaTheme="minorEastAsia" w:cstheme="minorBidi"/>
              <w:smallCaps w:val="0"/>
              <w:noProof/>
              <w:color w:val="0070C0"/>
              <w:sz w:val="24"/>
            </w:rPr>
          </w:pPr>
          <w:hyperlink w:history="1" w:anchor="_Toc137199604">
            <w:r w:rsidRPr="00E95B6C" w:rsidR="00E95B6C">
              <w:rPr>
                <w:rStyle w:val="Hyperlink"/>
                <w:noProof/>
                <w:color w:val="0070C0"/>
                <w:sz w:val="24"/>
              </w:rPr>
              <w:t>EXTERNAL EXAMINING</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_Toc137199604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5</w:t>
            </w:r>
            <w:r w:rsidRPr="00E95B6C" w:rsidR="00E95B6C">
              <w:rPr>
                <w:noProof/>
                <w:webHidden/>
                <w:color w:val="0070C0"/>
                <w:sz w:val="24"/>
              </w:rPr>
              <w:fldChar w:fldCharType="end"/>
            </w:r>
          </w:hyperlink>
        </w:p>
        <w:p w:rsidRPr="00E95B6C" w:rsidR="00E95B6C" w:rsidRDefault="00F5398F" w14:paraId="6420E3BD" w14:textId="29169EAD">
          <w:pPr>
            <w:pStyle w:val="TOC2"/>
            <w:rPr>
              <w:rFonts w:asciiTheme="minorHAnsi" w:hAnsiTheme="minorHAnsi" w:eastAsiaTheme="minorEastAsia" w:cstheme="minorBidi"/>
              <w:smallCaps w:val="0"/>
              <w:noProof/>
              <w:color w:val="0070C0"/>
              <w:sz w:val="24"/>
            </w:rPr>
          </w:pPr>
          <w:hyperlink w:history="1" w:anchor="_Toc137199605">
            <w:r w:rsidRPr="00E95B6C" w:rsidR="00E95B6C">
              <w:rPr>
                <w:rStyle w:val="Hyperlink"/>
                <w:noProof/>
                <w:color w:val="0070C0"/>
                <w:sz w:val="24"/>
              </w:rPr>
              <w:t>STUDENT INFORMATION</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_Toc137199605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5</w:t>
            </w:r>
            <w:r w:rsidRPr="00E95B6C" w:rsidR="00E95B6C">
              <w:rPr>
                <w:noProof/>
                <w:webHidden/>
                <w:color w:val="0070C0"/>
                <w:sz w:val="24"/>
              </w:rPr>
              <w:fldChar w:fldCharType="end"/>
            </w:r>
          </w:hyperlink>
        </w:p>
        <w:p w:rsidRPr="00E95B6C" w:rsidR="00E95B6C" w:rsidRDefault="00F5398F" w14:paraId="5CCDC72A" w14:textId="204DC898">
          <w:pPr>
            <w:pStyle w:val="TOC2"/>
            <w:rPr>
              <w:rFonts w:asciiTheme="minorHAnsi" w:hAnsiTheme="minorHAnsi" w:eastAsiaTheme="minorEastAsia" w:cstheme="minorBidi"/>
              <w:smallCaps w:val="0"/>
              <w:noProof/>
              <w:color w:val="0070C0"/>
              <w:sz w:val="24"/>
            </w:rPr>
          </w:pPr>
          <w:hyperlink w:history="1" w:anchor="_Toc137199606">
            <w:r w:rsidRPr="00E95B6C" w:rsidR="00E95B6C">
              <w:rPr>
                <w:rStyle w:val="Hyperlink"/>
                <w:noProof/>
                <w:color w:val="0070C0"/>
                <w:sz w:val="24"/>
              </w:rPr>
              <w:t>HOUSEKEEPING</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_Toc137199606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7</w:t>
            </w:r>
            <w:r w:rsidRPr="00E95B6C" w:rsidR="00E95B6C">
              <w:rPr>
                <w:noProof/>
                <w:webHidden/>
                <w:color w:val="0070C0"/>
                <w:sz w:val="24"/>
              </w:rPr>
              <w:fldChar w:fldCharType="end"/>
            </w:r>
          </w:hyperlink>
        </w:p>
        <w:p w:rsidRPr="00E95B6C" w:rsidR="00E95B6C" w:rsidRDefault="00F5398F" w14:paraId="5D5E799C" w14:textId="39C8EB41">
          <w:pPr>
            <w:pStyle w:val="TOC2"/>
            <w:rPr>
              <w:rFonts w:asciiTheme="minorHAnsi" w:hAnsiTheme="minorHAnsi" w:eastAsiaTheme="minorEastAsia" w:cstheme="minorBidi"/>
              <w:smallCaps w:val="0"/>
              <w:noProof/>
              <w:color w:val="0070C0"/>
              <w:sz w:val="24"/>
            </w:rPr>
          </w:pPr>
          <w:hyperlink w:history="1" w:anchor="_Toc137199607">
            <w:r w:rsidRPr="00E95B6C" w:rsidR="00E95B6C">
              <w:rPr>
                <w:rStyle w:val="Hyperlink"/>
                <w:noProof/>
                <w:color w:val="0070C0"/>
                <w:sz w:val="24"/>
              </w:rPr>
              <w:t>ONGOING DEVELOPMENTS TO THE QUALITY AND STANDARDS FRAMEWORK</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_Toc137199607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8</w:t>
            </w:r>
            <w:r w:rsidRPr="00E95B6C" w:rsidR="00E95B6C">
              <w:rPr>
                <w:noProof/>
                <w:webHidden/>
                <w:color w:val="0070C0"/>
                <w:sz w:val="24"/>
              </w:rPr>
              <w:fldChar w:fldCharType="end"/>
            </w:r>
          </w:hyperlink>
        </w:p>
        <w:p w:rsidRPr="00E95B6C" w:rsidR="00E95B6C" w:rsidRDefault="00F5398F" w14:paraId="0C6C5055" w14:textId="0F08CE18">
          <w:pPr>
            <w:pStyle w:val="TOC2"/>
            <w:rPr>
              <w:rFonts w:asciiTheme="minorHAnsi" w:hAnsiTheme="minorHAnsi" w:eastAsiaTheme="minorEastAsia" w:cstheme="minorBidi"/>
              <w:smallCaps w:val="0"/>
              <w:noProof/>
              <w:color w:val="0070C0"/>
              <w:sz w:val="24"/>
            </w:rPr>
          </w:pPr>
          <w:hyperlink w:history="1" w:anchor="_Toc137199608">
            <w:r w:rsidRPr="00E95B6C" w:rsidR="00E95B6C">
              <w:rPr>
                <w:rStyle w:val="Hyperlink"/>
                <w:noProof/>
                <w:color w:val="0070C0"/>
                <w:sz w:val="24"/>
              </w:rPr>
              <w:t>PROGRAMME HANDBOOKS</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_Toc137199608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10</w:t>
            </w:r>
            <w:r w:rsidRPr="00E95B6C" w:rsidR="00E95B6C">
              <w:rPr>
                <w:noProof/>
                <w:webHidden/>
                <w:color w:val="0070C0"/>
                <w:sz w:val="24"/>
              </w:rPr>
              <w:fldChar w:fldCharType="end"/>
            </w:r>
          </w:hyperlink>
        </w:p>
        <w:p w:rsidRPr="00E95B6C" w:rsidR="00E95B6C" w:rsidRDefault="00F5398F" w14:paraId="32528D9E" w14:textId="083C06C1">
          <w:pPr>
            <w:pStyle w:val="TOC2"/>
            <w:rPr>
              <w:rFonts w:asciiTheme="minorHAnsi" w:hAnsiTheme="minorHAnsi" w:eastAsiaTheme="minorEastAsia" w:cstheme="minorBidi"/>
              <w:smallCaps w:val="0"/>
              <w:noProof/>
              <w:color w:val="0070C0"/>
              <w:sz w:val="24"/>
            </w:rPr>
          </w:pPr>
          <w:hyperlink w:history="1" w:anchor="_Toc137199609">
            <w:r w:rsidRPr="00E95B6C" w:rsidR="00E95B6C">
              <w:rPr>
                <w:rStyle w:val="Hyperlink"/>
                <w:noProof/>
                <w:color w:val="0070C0"/>
                <w:sz w:val="24"/>
              </w:rPr>
              <w:t>QAA</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_Toc137199609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10</w:t>
            </w:r>
            <w:r w:rsidRPr="00E95B6C" w:rsidR="00E95B6C">
              <w:rPr>
                <w:noProof/>
                <w:webHidden/>
                <w:color w:val="0070C0"/>
                <w:sz w:val="24"/>
              </w:rPr>
              <w:fldChar w:fldCharType="end"/>
            </w:r>
          </w:hyperlink>
        </w:p>
        <w:p w:rsidRPr="00E95B6C" w:rsidR="00E95B6C" w:rsidRDefault="00F5398F" w14:paraId="240FBDD7" w14:textId="2F445772">
          <w:pPr>
            <w:pStyle w:val="TOC2"/>
            <w:rPr>
              <w:rFonts w:asciiTheme="minorHAnsi" w:hAnsiTheme="minorHAnsi" w:eastAsiaTheme="minorEastAsia" w:cstheme="minorBidi"/>
              <w:smallCaps w:val="0"/>
              <w:noProof/>
              <w:color w:val="0070C0"/>
              <w:sz w:val="24"/>
            </w:rPr>
          </w:pPr>
          <w:hyperlink w:history="1" w:anchor="_Toc137199610">
            <w:r w:rsidRPr="00E95B6C" w:rsidR="00E95B6C">
              <w:rPr>
                <w:rStyle w:val="Hyperlink"/>
                <w:noProof/>
                <w:color w:val="0070C0"/>
                <w:sz w:val="24"/>
              </w:rPr>
              <w:t>OFFICE FOR STUDENTS</w:t>
            </w:r>
            <w:r w:rsidRPr="00E95B6C" w:rsidR="00E95B6C">
              <w:rPr>
                <w:noProof/>
                <w:webHidden/>
                <w:color w:val="0070C0"/>
                <w:sz w:val="24"/>
              </w:rPr>
              <w:tab/>
            </w:r>
            <w:r w:rsidRPr="00E95B6C" w:rsidR="00E95B6C">
              <w:rPr>
                <w:noProof/>
                <w:webHidden/>
                <w:color w:val="0070C0"/>
                <w:sz w:val="24"/>
              </w:rPr>
              <w:fldChar w:fldCharType="begin"/>
            </w:r>
            <w:r w:rsidRPr="00E95B6C" w:rsidR="00E95B6C">
              <w:rPr>
                <w:noProof/>
                <w:webHidden/>
                <w:color w:val="0070C0"/>
                <w:sz w:val="24"/>
              </w:rPr>
              <w:instrText xml:space="preserve"> PAGEREF _Toc137199610 \h </w:instrText>
            </w:r>
            <w:r w:rsidRPr="00E95B6C" w:rsidR="00E95B6C">
              <w:rPr>
                <w:noProof/>
                <w:webHidden/>
                <w:color w:val="0070C0"/>
                <w:sz w:val="24"/>
              </w:rPr>
            </w:r>
            <w:r w:rsidRPr="00E95B6C" w:rsidR="00E95B6C">
              <w:rPr>
                <w:noProof/>
                <w:webHidden/>
                <w:color w:val="0070C0"/>
                <w:sz w:val="24"/>
              </w:rPr>
              <w:fldChar w:fldCharType="separate"/>
            </w:r>
            <w:r w:rsidRPr="00E95B6C" w:rsidR="00E95B6C">
              <w:rPr>
                <w:noProof/>
                <w:webHidden/>
                <w:color w:val="0070C0"/>
                <w:sz w:val="24"/>
              </w:rPr>
              <w:t>11</w:t>
            </w:r>
            <w:r w:rsidRPr="00E95B6C" w:rsidR="00E95B6C">
              <w:rPr>
                <w:noProof/>
                <w:webHidden/>
                <w:color w:val="0070C0"/>
                <w:sz w:val="24"/>
              </w:rPr>
              <w:fldChar w:fldCharType="end"/>
            </w:r>
          </w:hyperlink>
        </w:p>
        <w:p w:rsidRPr="00BD20ED" w:rsidR="00266D56" w:rsidP="00266D56" w:rsidRDefault="00266D56" w14:paraId="286E30F0" w14:textId="0AF2B9F9">
          <w:pPr>
            <w:pStyle w:val="NEW"/>
            <w:rPr>
              <w:rStyle w:val="arial12"/>
              <w:sz w:val="28"/>
              <w:szCs w:val="28"/>
            </w:rPr>
          </w:pPr>
          <w:r w:rsidRPr="00EF296F">
            <w:rPr>
              <w:rStyle w:val="arial12"/>
              <w:rFonts w:asciiTheme="minorHAnsi" w:hAnsiTheme="minorHAnsi"/>
              <w:sz w:val="28"/>
              <w:szCs w:val="28"/>
            </w:rPr>
            <w:fldChar w:fldCharType="end"/>
          </w:r>
        </w:p>
      </w:sdtContent>
    </w:sdt>
    <w:p w:rsidRPr="00315E8F" w:rsidR="00C85B48" w:rsidP="00315E8F" w:rsidRDefault="00E75D01" w14:paraId="64511A07" w14:textId="3E90BD9B">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Start w:name="_STUDENT_INFORMATION" w:id="3"/>
      <w:bookmarkStart w:name="_Toc48553176" w:id="4"/>
      <w:bookmarkEnd w:id="2"/>
      <w:bookmarkEnd w:id="3"/>
      <w:bookmarkEnd w:id="0"/>
    </w:p>
    <w:p w:rsidR="00007E32" w:rsidP="00315E8F" w:rsidRDefault="00007E32" w14:paraId="1D369FDE" w14:textId="411388CA">
      <w:pPr>
        <w:pStyle w:val="Heading2"/>
        <w:rPr>
          <w:color w:val="0070C0"/>
        </w:rPr>
      </w:pPr>
    </w:p>
    <w:p w:rsidRPr="001D26D8" w:rsidR="001D26D8" w:rsidP="001D26D8" w:rsidRDefault="001D26D8" w14:paraId="398833FD" w14:textId="75565A70">
      <w:pPr>
        <w:keepNext/>
        <w:outlineLvl w:val="1"/>
        <w:rPr>
          <w:rFonts w:cs="Arial"/>
          <w:b/>
          <w:bCs/>
          <w:iCs/>
          <w:color w:val="0070C0"/>
          <w:szCs w:val="28"/>
        </w:rPr>
      </w:pPr>
      <w:bookmarkStart w:name="_Toc137199602" w:id="5"/>
      <w:r>
        <w:rPr>
          <w:rFonts w:cs="Arial"/>
          <w:b/>
          <w:bCs/>
          <w:iCs/>
          <w:color w:val="0070C0"/>
          <w:szCs w:val="28"/>
        </w:rPr>
        <w:t>PROGRAMME REGULATIONS</w:t>
      </w:r>
      <w:bookmarkEnd w:id="5"/>
      <w:r>
        <w:rPr>
          <w:rFonts w:cs="Arial"/>
          <w:b/>
          <w:bCs/>
          <w:iCs/>
          <w:color w:val="0070C0"/>
          <w:szCs w:val="28"/>
        </w:rPr>
        <w:tab/>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26D8" w:rsidTr="0020115D" w14:paraId="7BD6D909" w14:textId="77777777">
        <w:trPr>
          <w:tblHeader/>
        </w:trPr>
        <w:tc>
          <w:tcPr>
            <w:tcW w:w="3470" w:type="dxa"/>
            <w:shd w:val="clear" w:color="auto" w:fill="D0CECE"/>
          </w:tcPr>
          <w:p w:rsidRPr="001D26D8" w:rsidR="001D26D8" w:rsidP="001D26D8" w:rsidRDefault="001D26D8" w14:paraId="393F47AE"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26D8" w:rsidP="001D26D8" w:rsidRDefault="001D26D8" w14:paraId="4BAD9EB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26D8" w:rsidP="001D26D8" w:rsidRDefault="001D26D8" w14:paraId="5EAF081B" w14:textId="77777777">
            <w:pPr>
              <w:jc w:val="center"/>
              <w:rPr>
                <w:color w:val="000000"/>
                <w:sz w:val="22"/>
                <w:szCs w:val="22"/>
              </w:rPr>
            </w:pPr>
            <w:r w:rsidRPr="001D26D8">
              <w:rPr>
                <w:b/>
                <w:sz w:val="22"/>
                <w:szCs w:val="22"/>
              </w:rPr>
              <w:t>Implementation</w:t>
            </w:r>
          </w:p>
        </w:tc>
      </w:tr>
      <w:tr w:rsidRPr="001D26D8" w:rsidR="001D26D8" w:rsidTr="0020115D" w14:paraId="5DC14F84" w14:textId="77777777">
        <w:tc>
          <w:tcPr>
            <w:tcW w:w="3470" w:type="dxa"/>
            <w:shd w:val="clear" w:color="auto" w:fill="auto"/>
          </w:tcPr>
          <w:p w:rsidRPr="00150EFB" w:rsidR="001D26D8" w:rsidP="001D26D8" w:rsidRDefault="00150EFB" w14:paraId="7C511751" w14:textId="713E58F4">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t>PGT Programme Regulations</w:t>
            </w:r>
          </w:p>
        </w:tc>
        <w:tc>
          <w:tcPr>
            <w:tcW w:w="7157" w:type="dxa"/>
            <w:shd w:val="clear" w:color="auto" w:fill="auto"/>
          </w:tcPr>
          <w:p w:rsidR="00086AA5" w:rsidP="00150EFB" w:rsidRDefault="00150EFB" w14:paraId="656E6B4C" w14:textId="23AD7003">
            <w:pPr>
              <w:contextualSpacing/>
              <w:jc w:val="left"/>
              <w:rPr>
                <w:rFonts w:ascii="Calibri" w:hAnsi="Calibri" w:cs="Calibri"/>
                <w:sz w:val="24"/>
              </w:rPr>
            </w:pPr>
            <w:r w:rsidRPr="00EA500B">
              <w:rPr>
                <w:rFonts w:ascii="Calibri" w:hAnsi="Calibri" w:cs="Calibri"/>
                <w:sz w:val="24"/>
              </w:rPr>
              <w:t>A</w:t>
            </w:r>
            <w:r>
              <w:rPr>
                <w:rFonts w:ascii="Calibri" w:hAnsi="Calibri" w:cs="Calibri"/>
                <w:sz w:val="24"/>
              </w:rPr>
              <w:t xml:space="preserve">n </w:t>
            </w:r>
            <w:r w:rsidRPr="00EA500B">
              <w:rPr>
                <w:rFonts w:ascii="Calibri" w:hAnsi="Calibri" w:cs="Calibri"/>
                <w:sz w:val="24"/>
              </w:rPr>
              <w:t>amendment has been made to the</w:t>
            </w:r>
            <w:r>
              <w:rPr>
                <w:rFonts w:ascii="Calibri" w:hAnsi="Calibri" w:cs="Calibri"/>
                <w:sz w:val="24"/>
              </w:rPr>
              <w:t xml:space="preserve"> regulations to </w:t>
            </w:r>
            <w:r>
              <w:t xml:space="preserve"> </w:t>
            </w:r>
            <w:r w:rsidRPr="00150EFB">
              <w:rPr>
                <w:rFonts w:ascii="Calibri" w:hAnsi="Calibri" w:cs="Calibri"/>
                <w:sz w:val="24"/>
              </w:rPr>
              <w:t xml:space="preserve">re-introduce the requirement for a Programme Board of Examiners at the end of the taught stage of Taught </w:t>
            </w:r>
            <w:proofErr w:type="gramStart"/>
            <w:r w:rsidRPr="00150EFB">
              <w:rPr>
                <w:rFonts w:ascii="Calibri" w:hAnsi="Calibri" w:cs="Calibri"/>
                <w:sz w:val="24"/>
              </w:rPr>
              <w:t>Masters</w:t>
            </w:r>
            <w:proofErr w:type="gramEnd"/>
            <w:r w:rsidRPr="00150EFB">
              <w:rPr>
                <w:rFonts w:ascii="Calibri" w:hAnsi="Calibri" w:cs="Calibri"/>
                <w:sz w:val="24"/>
              </w:rPr>
              <w:t xml:space="preserve"> degrees.  This is to ensure that students do not reach the end of the </w:t>
            </w:r>
            <w:proofErr w:type="gramStart"/>
            <w:r w:rsidRPr="00150EFB">
              <w:rPr>
                <w:rFonts w:ascii="Calibri" w:hAnsi="Calibri" w:cs="Calibri"/>
                <w:sz w:val="24"/>
              </w:rPr>
              <w:t>Masters</w:t>
            </w:r>
            <w:proofErr w:type="gramEnd"/>
            <w:r w:rsidRPr="00150EFB">
              <w:rPr>
                <w:rFonts w:ascii="Calibri" w:hAnsi="Calibri" w:cs="Calibri"/>
                <w:sz w:val="24"/>
              </w:rPr>
              <w:t xml:space="preserve"> stage, having submitting a dissertation, being unable to achieve a Masters, or in some cases any exit award.</w:t>
            </w:r>
            <w:r w:rsidR="00F14891">
              <w:rPr>
                <w:rFonts w:ascii="Calibri" w:hAnsi="Calibri" w:cs="Calibri"/>
                <w:sz w:val="24"/>
              </w:rPr>
              <w:t xml:space="preserve"> </w:t>
            </w:r>
          </w:p>
          <w:p w:rsidR="00236D7E" w:rsidP="00150EFB" w:rsidRDefault="00236D7E" w14:paraId="7300905D" w14:textId="77777777">
            <w:pPr>
              <w:contextualSpacing/>
              <w:jc w:val="left"/>
              <w:rPr>
                <w:rFonts w:ascii="Calibri" w:hAnsi="Calibri" w:cs="Calibri"/>
                <w:sz w:val="24"/>
              </w:rPr>
            </w:pPr>
          </w:p>
          <w:p w:rsidRPr="00236D7E" w:rsidR="00236D7E" w:rsidP="00236D7E" w:rsidRDefault="00236D7E" w14:paraId="71923512" w14:textId="77777777">
            <w:pPr>
              <w:contextualSpacing/>
              <w:jc w:val="left"/>
              <w:rPr>
                <w:rFonts w:ascii="Calibri" w:hAnsi="Calibri" w:cs="Calibri"/>
                <w:sz w:val="24"/>
              </w:rPr>
            </w:pPr>
            <w:r w:rsidRPr="00236D7E">
              <w:rPr>
                <w:rFonts w:ascii="Calibri" w:hAnsi="Calibri" w:cs="Calibri"/>
                <w:sz w:val="24"/>
              </w:rPr>
              <w:t>The regulations now make clear that:</w:t>
            </w:r>
          </w:p>
          <w:p w:rsidR="00236D7E" w:rsidP="00236D7E" w:rsidRDefault="00236D7E" w14:paraId="5758206F" w14:textId="77777777">
            <w:pPr>
              <w:pStyle w:val="ListParagraph"/>
              <w:numPr>
                <w:ilvl w:val="0"/>
                <w:numId w:val="37"/>
              </w:numPr>
              <w:jc w:val="left"/>
              <w:rPr>
                <w:rFonts w:ascii="Calibri" w:hAnsi="Calibri" w:cs="Calibri"/>
                <w:sz w:val="24"/>
              </w:rPr>
            </w:pPr>
            <w:r w:rsidRPr="00236D7E">
              <w:rPr>
                <w:rFonts w:ascii="Calibri" w:hAnsi="Calibri" w:cs="Calibri"/>
                <w:sz w:val="24"/>
              </w:rPr>
              <w:t>a student who has not achieved 60 credits or more of the taught credits will not be allowed to submit to the standard dissertation submission point but will be automatically moved to the next submission point (para 22.3)</w:t>
            </w:r>
          </w:p>
          <w:p w:rsidR="00236D7E" w:rsidP="00236D7E" w:rsidRDefault="00236D7E" w14:paraId="2268511E" w14:textId="77777777">
            <w:pPr>
              <w:pStyle w:val="ListParagraph"/>
              <w:numPr>
                <w:ilvl w:val="0"/>
                <w:numId w:val="37"/>
              </w:numPr>
              <w:jc w:val="left"/>
              <w:rPr>
                <w:rFonts w:ascii="Calibri" w:hAnsi="Calibri" w:cs="Calibri"/>
                <w:sz w:val="24"/>
              </w:rPr>
            </w:pPr>
            <w:r w:rsidRPr="00236D7E">
              <w:rPr>
                <w:rFonts w:ascii="Calibri" w:hAnsi="Calibri" w:cs="Calibri"/>
                <w:sz w:val="24"/>
              </w:rPr>
              <w:t>a student who has not completed the taught stage will not be considered for award of Masters until the taught credits have been completed (para 22.4)</w:t>
            </w:r>
          </w:p>
          <w:p w:rsidRPr="00236D7E" w:rsidR="00236D7E" w:rsidP="00236D7E" w:rsidRDefault="00236D7E" w14:paraId="30A30B6D" w14:textId="16FCADB0">
            <w:pPr>
              <w:pStyle w:val="ListParagraph"/>
              <w:numPr>
                <w:ilvl w:val="0"/>
                <w:numId w:val="37"/>
              </w:numPr>
              <w:jc w:val="left"/>
              <w:rPr>
                <w:rFonts w:ascii="Calibri" w:hAnsi="Calibri" w:cs="Calibri"/>
                <w:sz w:val="24"/>
              </w:rPr>
            </w:pPr>
            <w:r w:rsidRPr="00236D7E">
              <w:rPr>
                <w:rFonts w:ascii="Calibri" w:hAnsi="Calibri" w:cs="Calibri"/>
                <w:sz w:val="24"/>
              </w:rPr>
              <w:t>a student who is awarded a pass mark in all modules in the taught stage shall progress to the Masters stage (para 30.1)</w:t>
            </w:r>
            <w:r>
              <w:rPr>
                <w:rFonts w:ascii="Calibri" w:hAnsi="Calibri" w:cs="Calibri"/>
                <w:sz w:val="24"/>
              </w:rPr>
              <w:t>.</w:t>
            </w:r>
          </w:p>
          <w:p w:rsidR="00150EFB" w:rsidP="00150EFB" w:rsidRDefault="00150EFB" w14:paraId="0EA1C04A" w14:textId="77777777">
            <w:pPr>
              <w:contextualSpacing/>
              <w:jc w:val="left"/>
              <w:rPr>
                <w:rFonts w:ascii="Calibri" w:hAnsi="Calibri" w:cs="Calibri"/>
                <w:noProof/>
                <w:sz w:val="24"/>
              </w:rPr>
            </w:pPr>
          </w:p>
          <w:p w:rsidR="00150EFB" w:rsidP="00150EFB" w:rsidRDefault="00150EFB" w14:paraId="27B30131" w14:textId="77777777">
            <w:pPr>
              <w:contextualSpacing/>
              <w:jc w:val="right"/>
              <w:rPr>
                <w:rFonts w:ascii="Calibri" w:hAnsi="Calibri" w:cs="Calibri"/>
                <w:noProof/>
                <w:sz w:val="24"/>
              </w:rPr>
            </w:pPr>
            <w:r>
              <w:rPr>
                <w:rFonts w:ascii="Calibri" w:hAnsi="Calibri" w:cs="Calibri"/>
                <w:noProof/>
                <w:sz w:val="24"/>
              </w:rPr>
              <w:t>Education Committee, May 2023</w:t>
            </w:r>
          </w:p>
          <w:p w:rsidRPr="001D26D8" w:rsidR="00150EFB" w:rsidP="00150EFB" w:rsidRDefault="00150EFB" w14:paraId="0B3F90F7" w14:textId="306E753F">
            <w:pPr>
              <w:contextualSpacing/>
              <w:jc w:val="right"/>
              <w:rPr>
                <w:rFonts w:ascii="Calibri" w:hAnsi="Calibri" w:cs="Calibri"/>
                <w:noProof/>
                <w:sz w:val="24"/>
                <w:szCs w:val="20"/>
                <w:lang w:eastAsia="en-US"/>
              </w:rPr>
            </w:pPr>
            <w:r>
              <w:rPr>
                <w:rFonts w:ascii="Calibri" w:hAnsi="Calibri" w:cs="Calibri"/>
                <w:noProof/>
                <w:sz w:val="24"/>
              </w:rPr>
              <w:t>Senate, June 2023</w:t>
            </w:r>
          </w:p>
        </w:tc>
        <w:tc>
          <w:tcPr>
            <w:tcW w:w="3321" w:type="dxa"/>
            <w:shd w:val="clear" w:color="auto" w:fill="auto"/>
          </w:tcPr>
          <w:p w:rsidRPr="00B16CE8" w:rsidR="001D26D8" w:rsidP="001D26D8" w:rsidRDefault="001D26D8" w14:paraId="20A903C3" w14:textId="6E3A07B6">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00F14891">
              <w:rPr>
                <w:rFonts w:ascii="Calibri" w:hAnsi="Calibri" w:cs="Calibri"/>
                <w:color w:val="000000"/>
                <w:sz w:val="24"/>
              </w:rPr>
              <w:t>Sept 2023</w:t>
            </w:r>
          </w:p>
          <w:p w:rsidRPr="001D26D8" w:rsidR="001D26D8" w:rsidP="001D26D8" w:rsidRDefault="001D26D8" w14:paraId="0F0213E1" w14:textId="25886A5A">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sidR="00150EFB">
              <w:rPr>
                <w:rFonts w:ascii="Calibri" w:hAnsi="Calibri" w:cs="Calibri"/>
                <w:color w:val="000000"/>
                <w:sz w:val="24"/>
              </w:rPr>
              <w:t>mandatory</w:t>
            </w:r>
          </w:p>
        </w:tc>
      </w:tr>
    </w:tbl>
    <w:p w:rsidR="00A91962" w:rsidP="00A91962" w:rsidRDefault="00A91962" w14:paraId="4EEF4E26" w14:textId="77777777">
      <w:pPr>
        <w:pStyle w:val="Heading2"/>
        <w:rPr>
          <w:color w:val="0070C0"/>
          <w:sz w:val="24"/>
          <w:szCs w:val="24"/>
        </w:rPr>
      </w:pPr>
      <w:bookmarkStart w:name="_Hlk121989697" w:id="6"/>
    </w:p>
    <w:p w:rsidRPr="00A91962" w:rsidR="005431C4" w:rsidP="005431C4" w:rsidRDefault="005431C4" w14:paraId="2A526197" w14:textId="2104CCED">
      <w:pPr>
        <w:pStyle w:val="Heading2"/>
        <w:rPr>
          <w:color w:val="0070C0"/>
          <w:szCs w:val="20"/>
        </w:rPr>
      </w:pPr>
      <w:bookmarkStart w:name="_Toc137199603" w:id="7"/>
      <w:r>
        <w:rPr>
          <w:color w:val="0070C0"/>
          <w:szCs w:val="20"/>
        </w:rPr>
        <w:t>COLLABORATIVE PROVISION</w:t>
      </w:r>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5431C4" w:rsidTr="00110E1E" w14:paraId="45B5288C" w14:textId="77777777">
        <w:trPr>
          <w:tblHeader/>
        </w:trPr>
        <w:tc>
          <w:tcPr>
            <w:tcW w:w="3470" w:type="dxa"/>
            <w:shd w:val="clear" w:color="auto" w:fill="D0CECE"/>
          </w:tcPr>
          <w:p w:rsidRPr="00C85B48" w:rsidR="005431C4" w:rsidP="00110E1E" w:rsidRDefault="005431C4" w14:paraId="3576B42D"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5431C4" w:rsidP="00110E1E" w:rsidRDefault="005431C4" w14:paraId="25EADF6B" w14:textId="77777777">
            <w:pPr>
              <w:jc w:val="center"/>
              <w:rPr>
                <w:rFonts w:cs="Arial"/>
                <w:sz w:val="22"/>
                <w:szCs w:val="22"/>
              </w:rPr>
            </w:pPr>
            <w:r w:rsidRPr="00C85B48">
              <w:rPr>
                <w:b/>
                <w:sz w:val="22"/>
                <w:szCs w:val="22"/>
              </w:rPr>
              <w:t>Details</w:t>
            </w:r>
          </w:p>
        </w:tc>
        <w:tc>
          <w:tcPr>
            <w:tcW w:w="3321" w:type="dxa"/>
            <w:shd w:val="clear" w:color="auto" w:fill="D0CECE"/>
          </w:tcPr>
          <w:p w:rsidRPr="00C85B48" w:rsidR="005431C4" w:rsidP="00110E1E" w:rsidRDefault="005431C4" w14:paraId="3E89C0C5" w14:textId="77777777">
            <w:pPr>
              <w:jc w:val="center"/>
              <w:rPr>
                <w:color w:val="000000"/>
                <w:sz w:val="22"/>
                <w:szCs w:val="22"/>
              </w:rPr>
            </w:pPr>
            <w:r w:rsidRPr="00C85B48">
              <w:rPr>
                <w:b/>
                <w:sz w:val="22"/>
                <w:szCs w:val="22"/>
              </w:rPr>
              <w:t>Implementation</w:t>
            </w:r>
          </w:p>
        </w:tc>
      </w:tr>
      <w:tr w:rsidRPr="00C85B48" w:rsidR="005431C4" w:rsidTr="00110E1E" w14:paraId="17F5418F" w14:textId="77777777">
        <w:tc>
          <w:tcPr>
            <w:tcW w:w="3470" w:type="dxa"/>
            <w:shd w:val="clear" w:color="auto" w:fill="auto"/>
          </w:tcPr>
          <w:p w:rsidRPr="002F0CBC" w:rsidR="005431C4" w:rsidP="00110E1E" w:rsidRDefault="005431C4" w14:paraId="51E15AAD" w14:textId="76EB4F25">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w:t>
            </w:r>
            <w:r>
              <w:t xml:space="preserve"> </w:t>
            </w:r>
            <w:r w:rsidRPr="005431C4">
              <w:rPr>
                <w:rFonts w:ascii="Calibri" w:hAnsi="Calibri" w:cs="Calibri"/>
                <w:b/>
                <w:bCs/>
                <w:sz w:val="24"/>
              </w:rPr>
              <w:t xml:space="preserve">Approval of Collaborative </w:t>
            </w:r>
            <w:r w:rsidRPr="005431C4">
              <w:rPr>
                <w:rFonts w:ascii="Calibri" w:hAnsi="Calibri" w:cs="Calibri"/>
                <w:b/>
                <w:bCs/>
                <w:sz w:val="24"/>
              </w:rPr>
              <w:lastRenderedPageBreak/>
              <w:t>Provision Publicity and Marketing Information</w:t>
            </w:r>
          </w:p>
        </w:tc>
        <w:tc>
          <w:tcPr>
            <w:tcW w:w="7157" w:type="dxa"/>
            <w:shd w:val="clear" w:color="auto" w:fill="auto"/>
          </w:tcPr>
          <w:p w:rsidR="005431C4" w:rsidP="00110E1E" w:rsidRDefault="005431C4" w14:paraId="4D607431" w14:textId="4EB480AA">
            <w:pPr>
              <w:jc w:val="left"/>
              <w:rPr>
                <w:rFonts w:ascii="Calibri" w:hAnsi="Calibri" w:cs="Calibri"/>
                <w:sz w:val="24"/>
              </w:rPr>
            </w:pPr>
            <w:r>
              <w:rPr>
                <w:rFonts w:ascii="Calibri" w:hAnsi="Calibri" w:cs="Calibri"/>
                <w:sz w:val="24"/>
              </w:rPr>
              <w:lastRenderedPageBreak/>
              <w:t xml:space="preserve">Following the work of a University Working Group the Code has been </w:t>
            </w:r>
            <w:r w:rsidR="00E95B6C">
              <w:rPr>
                <w:rFonts w:ascii="Calibri" w:hAnsi="Calibri" w:cs="Calibri"/>
                <w:sz w:val="24"/>
              </w:rPr>
              <w:t>revised. A</w:t>
            </w:r>
            <w:r>
              <w:rPr>
                <w:rFonts w:ascii="Calibri" w:hAnsi="Calibri" w:cs="Calibri"/>
                <w:sz w:val="24"/>
              </w:rPr>
              <w:t>mend</w:t>
            </w:r>
            <w:r w:rsidR="00E95B6C">
              <w:rPr>
                <w:rFonts w:ascii="Calibri" w:hAnsi="Calibri" w:cs="Calibri"/>
                <w:sz w:val="24"/>
              </w:rPr>
              <w:t>ments</w:t>
            </w:r>
            <w:r>
              <w:rPr>
                <w:rFonts w:ascii="Calibri" w:hAnsi="Calibri" w:cs="Calibri"/>
                <w:sz w:val="24"/>
              </w:rPr>
              <w:t xml:space="preserve"> include:</w:t>
            </w:r>
          </w:p>
          <w:p w:rsidRPr="005431C4" w:rsidR="005431C4" w:rsidP="005431C4" w:rsidRDefault="005431C4" w14:paraId="646D58F6" w14:textId="77777777">
            <w:pPr>
              <w:pStyle w:val="ListParagraph"/>
              <w:numPr>
                <w:ilvl w:val="0"/>
                <w:numId w:val="32"/>
              </w:numPr>
              <w:jc w:val="left"/>
              <w:rPr>
                <w:rFonts w:ascii="Calibri" w:hAnsi="Calibri" w:cs="Calibri"/>
                <w:sz w:val="24"/>
              </w:rPr>
            </w:pPr>
            <w:r w:rsidRPr="005431C4">
              <w:rPr>
                <w:rFonts w:ascii="Calibri" w:hAnsi="Calibri" w:cs="Calibri"/>
                <w:sz w:val="24"/>
              </w:rPr>
              <w:lastRenderedPageBreak/>
              <w:t>removal of the requirement to seek approval prior to publication of all social media referencing the university.</w:t>
            </w:r>
          </w:p>
          <w:p w:rsidRPr="005431C4" w:rsidR="005431C4" w:rsidP="005431C4" w:rsidRDefault="005431C4" w14:paraId="51FAB74C" w14:textId="77777777">
            <w:pPr>
              <w:pStyle w:val="ListParagraph"/>
              <w:numPr>
                <w:ilvl w:val="0"/>
                <w:numId w:val="32"/>
              </w:numPr>
              <w:jc w:val="left"/>
              <w:rPr>
                <w:rFonts w:ascii="Calibri" w:hAnsi="Calibri" w:cs="Calibri"/>
                <w:sz w:val="24"/>
              </w:rPr>
            </w:pPr>
            <w:r w:rsidRPr="005431C4">
              <w:rPr>
                <w:rFonts w:ascii="Calibri" w:hAnsi="Calibri" w:cs="Calibri"/>
                <w:sz w:val="24"/>
              </w:rPr>
              <w:t>new text to make clear which entities have responsibility for monitoring and approving marketing and publicity materials at partnership level, programme level and for international partnerships.</w:t>
            </w:r>
          </w:p>
          <w:p w:rsidRPr="005431C4" w:rsidR="005431C4" w:rsidP="005431C4" w:rsidRDefault="005431C4" w14:paraId="5E4A8775" w14:textId="33439119">
            <w:pPr>
              <w:pStyle w:val="ListParagraph"/>
              <w:numPr>
                <w:ilvl w:val="0"/>
                <w:numId w:val="32"/>
              </w:numPr>
              <w:jc w:val="left"/>
              <w:rPr>
                <w:rFonts w:ascii="Calibri" w:hAnsi="Calibri" w:cs="Calibri"/>
                <w:sz w:val="24"/>
              </w:rPr>
            </w:pPr>
            <w:r w:rsidRPr="005431C4">
              <w:rPr>
                <w:rFonts w:ascii="Calibri" w:hAnsi="Calibri" w:cs="Calibri"/>
                <w:sz w:val="24"/>
              </w:rPr>
              <w:t>reference to guidance provided by the Council of Validating Universities.</w:t>
            </w:r>
          </w:p>
          <w:p w:rsidR="005431C4" w:rsidP="00110E1E" w:rsidRDefault="005431C4" w14:paraId="0856515F" w14:textId="77777777">
            <w:pPr>
              <w:jc w:val="left"/>
              <w:rPr>
                <w:rFonts w:ascii="Calibri" w:hAnsi="Calibri" w:cs="Calibri"/>
                <w:sz w:val="24"/>
              </w:rPr>
            </w:pPr>
          </w:p>
          <w:p w:rsidRPr="00086AA5" w:rsidR="005431C4" w:rsidP="00110E1E" w:rsidRDefault="005431C4" w14:paraId="727C6D9E" w14:textId="77777777">
            <w:pPr>
              <w:contextualSpacing/>
              <w:jc w:val="right"/>
              <w:rPr>
                <w:rFonts w:ascii="Calibri" w:hAnsi="Calibri" w:cs="Calibri"/>
                <w:noProof/>
                <w:sz w:val="24"/>
              </w:rPr>
            </w:pPr>
            <w:r>
              <w:rPr>
                <w:rFonts w:ascii="Calibri" w:hAnsi="Calibri" w:cs="Calibri"/>
                <w:noProof/>
                <w:sz w:val="24"/>
              </w:rPr>
              <w:t>Education Committee, May 2023</w:t>
            </w:r>
          </w:p>
        </w:tc>
        <w:tc>
          <w:tcPr>
            <w:tcW w:w="3321" w:type="dxa"/>
          </w:tcPr>
          <w:p w:rsidRPr="00F90387" w:rsidR="005431C4" w:rsidP="00110E1E" w:rsidRDefault="005431C4" w14:paraId="2A864AE0"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Sept 2023</w:t>
            </w:r>
          </w:p>
          <w:p w:rsidRPr="00106AC0" w:rsidR="005431C4" w:rsidP="00110E1E" w:rsidRDefault="005431C4" w14:paraId="7CF32C3E" w14:textId="77777777">
            <w:pPr>
              <w:spacing w:after="120"/>
              <w:jc w:val="left"/>
              <w:rPr>
                <w:rFonts w:ascii="Calibri" w:hAnsi="Calibri" w:cs="Calibri"/>
                <w:color w:val="000000"/>
                <w:sz w:val="24"/>
                <w:highlight w:val="yellow"/>
              </w:rPr>
            </w:pPr>
            <w:r w:rsidRPr="00F90387">
              <w:rPr>
                <w:rFonts w:ascii="Calibri" w:hAnsi="Calibri" w:cs="Calibri"/>
                <w:color w:val="000000"/>
                <w:sz w:val="24"/>
              </w:rPr>
              <w:lastRenderedPageBreak/>
              <w:t>Application to collaborative provision: mandatory</w:t>
            </w:r>
          </w:p>
        </w:tc>
      </w:tr>
      <w:tr w:rsidRPr="00C85B48" w:rsidR="005431C4" w:rsidTr="00110E1E" w14:paraId="0E077EA4" w14:textId="77777777">
        <w:tc>
          <w:tcPr>
            <w:tcW w:w="3470" w:type="dxa"/>
            <w:shd w:val="clear" w:color="auto" w:fill="auto"/>
          </w:tcPr>
          <w:p w:rsidRPr="00EA500B" w:rsidR="005431C4" w:rsidP="00110E1E" w:rsidRDefault="005431C4" w14:paraId="1FC0D248" w14:textId="7A3B7054">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lastRenderedPageBreak/>
              <w:t xml:space="preserve">University Code of Practice: </w:t>
            </w:r>
            <w:r>
              <w:t xml:space="preserve">  </w:t>
            </w:r>
            <w:r w:rsidRPr="007C2C11">
              <w:rPr>
                <w:rFonts w:ascii="Calibri" w:hAnsi="Calibri" w:cs="Calibri"/>
                <w:b/>
                <w:bCs/>
                <w:sz w:val="24"/>
              </w:rPr>
              <w:t>Annual Monitoring, Review and Enhancement of Programmes (AMREP) Collaborative Provision</w:t>
            </w:r>
          </w:p>
        </w:tc>
        <w:tc>
          <w:tcPr>
            <w:tcW w:w="7157" w:type="dxa"/>
            <w:shd w:val="clear" w:color="auto" w:fill="auto"/>
          </w:tcPr>
          <w:p w:rsidR="005431C4" w:rsidP="005431C4" w:rsidRDefault="005431C4" w14:paraId="0AE5F3E4" w14:textId="4F41CE44">
            <w:pPr>
              <w:jc w:val="left"/>
              <w:rPr>
                <w:rFonts w:ascii="Calibri" w:hAnsi="Calibri" w:cs="Calibri"/>
                <w:sz w:val="24"/>
              </w:rPr>
            </w:pPr>
            <w:r>
              <w:rPr>
                <w:rFonts w:ascii="Calibri" w:hAnsi="Calibri" w:cs="Calibri"/>
                <w:sz w:val="24"/>
              </w:rPr>
              <w:t xml:space="preserve">Following the work of a University Working Group the Code has been </w:t>
            </w:r>
            <w:r w:rsidR="00E95B6C">
              <w:rPr>
                <w:rFonts w:ascii="Calibri" w:hAnsi="Calibri" w:cs="Calibri"/>
                <w:sz w:val="24"/>
              </w:rPr>
              <w:t>revised. A</w:t>
            </w:r>
            <w:r>
              <w:rPr>
                <w:rFonts w:ascii="Calibri" w:hAnsi="Calibri" w:cs="Calibri"/>
                <w:sz w:val="24"/>
              </w:rPr>
              <w:t>mend</w:t>
            </w:r>
            <w:r w:rsidR="00E95B6C">
              <w:rPr>
                <w:rFonts w:ascii="Calibri" w:hAnsi="Calibri" w:cs="Calibri"/>
                <w:sz w:val="24"/>
              </w:rPr>
              <w:t>ments</w:t>
            </w:r>
            <w:r>
              <w:rPr>
                <w:rFonts w:ascii="Calibri" w:hAnsi="Calibri" w:cs="Calibri"/>
                <w:sz w:val="24"/>
              </w:rPr>
              <w:t xml:space="preserve"> include:</w:t>
            </w:r>
          </w:p>
          <w:p w:rsidRPr="005431C4" w:rsidR="005431C4" w:rsidP="005431C4" w:rsidRDefault="00E95B6C" w14:paraId="1E2D2854" w14:textId="5F302C81">
            <w:pPr>
              <w:pStyle w:val="ListParagraph"/>
              <w:numPr>
                <w:ilvl w:val="0"/>
                <w:numId w:val="33"/>
              </w:numPr>
              <w:jc w:val="left"/>
              <w:rPr>
                <w:rFonts w:ascii="Calibri" w:hAnsi="Calibri" w:cs="Calibri"/>
                <w:sz w:val="24"/>
              </w:rPr>
            </w:pPr>
            <w:r>
              <w:rPr>
                <w:rFonts w:ascii="Calibri" w:hAnsi="Calibri" w:cs="Calibri"/>
                <w:sz w:val="24"/>
              </w:rPr>
              <w:t>A</w:t>
            </w:r>
            <w:r w:rsidRPr="005431C4" w:rsidR="005431C4">
              <w:rPr>
                <w:rFonts w:ascii="Calibri" w:hAnsi="Calibri" w:cs="Calibri"/>
                <w:sz w:val="24"/>
              </w:rPr>
              <w:t>lignment to the QAA UK Quality Code for Higher Education Advice and Guidance: Monitoring and Evaluation.</w:t>
            </w:r>
          </w:p>
          <w:p w:rsidRPr="005431C4" w:rsidR="005431C4" w:rsidP="005431C4" w:rsidRDefault="00E95B6C" w14:paraId="4570E33A" w14:textId="5F6DDC61">
            <w:pPr>
              <w:pStyle w:val="ListParagraph"/>
              <w:numPr>
                <w:ilvl w:val="0"/>
                <w:numId w:val="33"/>
              </w:numPr>
              <w:jc w:val="left"/>
              <w:rPr>
                <w:rFonts w:ascii="Calibri" w:hAnsi="Calibri" w:cs="Calibri"/>
                <w:sz w:val="24"/>
              </w:rPr>
            </w:pPr>
            <w:r>
              <w:rPr>
                <w:rFonts w:ascii="Calibri" w:hAnsi="Calibri" w:cs="Calibri"/>
                <w:sz w:val="24"/>
              </w:rPr>
              <w:t>A</w:t>
            </w:r>
            <w:r w:rsidRPr="005431C4" w:rsidR="005431C4">
              <w:rPr>
                <w:rFonts w:ascii="Calibri" w:hAnsi="Calibri" w:cs="Calibri"/>
                <w:sz w:val="24"/>
              </w:rPr>
              <w:t>rticulates the 3-step annual monitoring process more clearly, promoting the use of current and historical data to inform analysis and identifying areas for review and enhancement.</w:t>
            </w:r>
          </w:p>
          <w:p w:rsidRPr="005431C4" w:rsidR="005431C4" w:rsidP="005431C4" w:rsidRDefault="00E95B6C" w14:paraId="16C9F134" w14:textId="32231B46">
            <w:pPr>
              <w:pStyle w:val="ListParagraph"/>
              <w:numPr>
                <w:ilvl w:val="0"/>
                <w:numId w:val="33"/>
              </w:numPr>
              <w:jc w:val="left"/>
              <w:rPr>
                <w:rFonts w:ascii="Calibri" w:hAnsi="Calibri" w:cs="Calibri"/>
                <w:sz w:val="24"/>
              </w:rPr>
            </w:pPr>
            <w:r>
              <w:rPr>
                <w:rFonts w:ascii="Calibri" w:hAnsi="Calibri" w:cs="Calibri"/>
                <w:sz w:val="24"/>
              </w:rPr>
              <w:t>C</w:t>
            </w:r>
            <w:r w:rsidRPr="005431C4" w:rsidR="005431C4">
              <w:rPr>
                <w:rFonts w:ascii="Calibri" w:hAnsi="Calibri" w:cs="Calibri"/>
                <w:sz w:val="24"/>
              </w:rPr>
              <w:t>larifies requirements around module reporting process.</w:t>
            </w:r>
          </w:p>
          <w:p w:rsidRPr="005431C4" w:rsidR="005431C4" w:rsidP="005431C4" w:rsidRDefault="00E95B6C" w14:paraId="5C371628" w14:textId="34101CFA">
            <w:pPr>
              <w:pStyle w:val="ListParagraph"/>
              <w:numPr>
                <w:ilvl w:val="0"/>
                <w:numId w:val="33"/>
              </w:numPr>
              <w:jc w:val="left"/>
              <w:rPr>
                <w:rFonts w:ascii="Calibri" w:hAnsi="Calibri" w:cs="Calibri"/>
                <w:sz w:val="24"/>
              </w:rPr>
            </w:pPr>
            <w:r>
              <w:rPr>
                <w:rFonts w:ascii="Calibri" w:hAnsi="Calibri" w:cs="Calibri"/>
                <w:sz w:val="24"/>
              </w:rPr>
              <w:t>C</w:t>
            </w:r>
            <w:r w:rsidRPr="005431C4" w:rsidR="005431C4">
              <w:rPr>
                <w:rFonts w:ascii="Calibri" w:hAnsi="Calibri" w:cs="Calibri"/>
                <w:sz w:val="24"/>
              </w:rPr>
              <w:t>onfirms arrangements for the Institutional level report process and resulting summary report.</w:t>
            </w:r>
          </w:p>
          <w:p w:rsidRPr="005431C4" w:rsidR="005431C4" w:rsidP="005431C4" w:rsidRDefault="005431C4" w14:paraId="00F75D67" w14:textId="77777777">
            <w:pPr>
              <w:pStyle w:val="ListParagraph"/>
              <w:ind w:left="360"/>
              <w:jc w:val="left"/>
              <w:rPr>
                <w:rFonts w:ascii="Calibri" w:hAnsi="Calibri" w:cs="Calibri"/>
                <w:sz w:val="24"/>
              </w:rPr>
            </w:pPr>
          </w:p>
          <w:p w:rsidR="005431C4" w:rsidP="005431C4" w:rsidRDefault="005431C4" w14:paraId="434FD186" w14:textId="2A586521">
            <w:pPr>
              <w:jc w:val="right"/>
              <w:rPr>
                <w:rFonts w:ascii="Calibri" w:hAnsi="Calibri" w:cs="Calibri"/>
                <w:sz w:val="24"/>
              </w:rPr>
            </w:pPr>
            <w:r>
              <w:rPr>
                <w:rFonts w:ascii="Calibri" w:hAnsi="Calibri" w:cs="Calibri"/>
                <w:noProof/>
                <w:sz w:val="24"/>
              </w:rPr>
              <w:t>Education Committee, May 2023</w:t>
            </w:r>
          </w:p>
        </w:tc>
        <w:tc>
          <w:tcPr>
            <w:tcW w:w="3321" w:type="dxa"/>
          </w:tcPr>
          <w:p w:rsidRPr="00F90387" w:rsidR="005431C4" w:rsidP="005431C4" w:rsidRDefault="005431C4" w14:paraId="7A2D58ED"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F90387" w:rsidR="005431C4" w:rsidP="005431C4" w:rsidRDefault="005431C4" w14:paraId="6825D273" w14:textId="38B96B9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bl>
    <w:p w:rsidR="005431C4" w:rsidP="005431C4" w:rsidRDefault="005431C4" w14:paraId="27D6AED5" w14:textId="77777777">
      <w:pPr>
        <w:pStyle w:val="Heading4"/>
        <w:numPr>
          <w:ilvl w:val="0"/>
          <w:numId w:val="0"/>
        </w:numPr>
        <w:ind w:left="567" w:hanging="567"/>
      </w:pPr>
    </w:p>
    <w:p w:rsidRPr="005431C4" w:rsidR="005431C4" w:rsidP="005431C4" w:rsidRDefault="005431C4" w14:paraId="37A404A1" w14:textId="77777777">
      <w:pPr>
        <w:pStyle w:val="Heading4"/>
        <w:numPr>
          <w:ilvl w:val="0"/>
          <w:numId w:val="0"/>
        </w:numPr>
        <w:ind w:left="567" w:hanging="567"/>
      </w:pPr>
    </w:p>
    <w:p w:rsidRPr="00A91962" w:rsidR="00A91962" w:rsidP="00A91962" w:rsidRDefault="00A91962" w14:paraId="6360B1FE" w14:textId="4086767F">
      <w:pPr>
        <w:pStyle w:val="Heading2"/>
        <w:rPr>
          <w:color w:val="0070C0"/>
          <w:szCs w:val="20"/>
        </w:rPr>
      </w:pPr>
      <w:bookmarkStart w:name="_Toc137199604" w:id="8"/>
      <w:r>
        <w:rPr>
          <w:color w:val="0070C0"/>
          <w:szCs w:val="20"/>
        </w:rPr>
        <w:t>EXTER</w:t>
      </w:r>
      <w:r w:rsidR="005431C4">
        <w:rPr>
          <w:color w:val="0070C0"/>
          <w:szCs w:val="20"/>
        </w:rPr>
        <w:t>NA</w:t>
      </w:r>
      <w:r>
        <w:rPr>
          <w:color w:val="0070C0"/>
          <w:szCs w:val="20"/>
        </w:rPr>
        <w:t>L EXAMINING</w:t>
      </w:r>
      <w:bookmarkEnd w:id="8"/>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A91962" w:rsidTr="00110E1E" w14:paraId="737ECAB9" w14:textId="77777777">
        <w:trPr>
          <w:tblHeader/>
        </w:trPr>
        <w:tc>
          <w:tcPr>
            <w:tcW w:w="3470" w:type="dxa"/>
            <w:shd w:val="clear" w:color="auto" w:fill="D0CECE"/>
          </w:tcPr>
          <w:p w:rsidRPr="00C85B48" w:rsidR="00A91962" w:rsidP="00110E1E" w:rsidRDefault="00A91962" w14:paraId="0F995BE8"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A91962" w:rsidP="00110E1E" w:rsidRDefault="00A91962" w14:paraId="096785B6" w14:textId="77777777">
            <w:pPr>
              <w:jc w:val="center"/>
              <w:rPr>
                <w:rFonts w:cs="Arial"/>
                <w:sz w:val="22"/>
                <w:szCs w:val="22"/>
              </w:rPr>
            </w:pPr>
            <w:r w:rsidRPr="00C85B48">
              <w:rPr>
                <w:b/>
                <w:sz w:val="22"/>
                <w:szCs w:val="22"/>
              </w:rPr>
              <w:t>Details</w:t>
            </w:r>
          </w:p>
        </w:tc>
        <w:tc>
          <w:tcPr>
            <w:tcW w:w="3321" w:type="dxa"/>
            <w:shd w:val="clear" w:color="auto" w:fill="D0CECE"/>
          </w:tcPr>
          <w:p w:rsidRPr="00C85B48" w:rsidR="00A91962" w:rsidP="00110E1E" w:rsidRDefault="00A91962" w14:paraId="638153F5" w14:textId="77777777">
            <w:pPr>
              <w:jc w:val="center"/>
              <w:rPr>
                <w:color w:val="000000"/>
                <w:sz w:val="22"/>
                <w:szCs w:val="22"/>
              </w:rPr>
            </w:pPr>
            <w:r w:rsidRPr="00C85B48">
              <w:rPr>
                <w:b/>
                <w:sz w:val="22"/>
                <w:szCs w:val="22"/>
              </w:rPr>
              <w:t>Implementation</w:t>
            </w:r>
          </w:p>
        </w:tc>
      </w:tr>
      <w:tr w:rsidRPr="00C85B48" w:rsidR="00A91962" w:rsidTr="00110E1E" w14:paraId="07E01B16" w14:textId="77777777">
        <w:tc>
          <w:tcPr>
            <w:tcW w:w="3470" w:type="dxa"/>
            <w:shd w:val="clear" w:color="auto" w:fill="auto"/>
          </w:tcPr>
          <w:p w:rsidRPr="002F0CBC" w:rsidR="00A91962" w:rsidP="00110E1E" w:rsidRDefault="00A91962" w14:paraId="62340A8C" w14:textId="099FE5AB">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w:t>
            </w:r>
            <w:r>
              <w:rPr>
                <w:rFonts w:ascii="Calibri" w:hAnsi="Calibri" w:cs="Calibri"/>
                <w:b/>
                <w:bCs/>
                <w:sz w:val="24"/>
              </w:rPr>
              <w:t>External Examining</w:t>
            </w:r>
          </w:p>
        </w:tc>
        <w:tc>
          <w:tcPr>
            <w:tcW w:w="7157" w:type="dxa"/>
            <w:shd w:val="clear" w:color="auto" w:fill="auto"/>
          </w:tcPr>
          <w:p w:rsidR="00A91962" w:rsidP="005431C4" w:rsidRDefault="005431C4" w14:paraId="7EC1CA58" w14:textId="489D2BB8">
            <w:pPr>
              <w:jc w:val="left"/>
              <w:rPr>
                <w:rFonts w:ascii="Calibri" w:hAnsi="Calibri" w:cs="Calibri"/>
                <w:sz w:val="24"/>
              </w:rPr>
            </w:pPr>
            <w:r>
              <w:rPr>
                <w:rFonts w:ascii="Calibri" w:hAnsi="Calibri" w:cs="Calibri"/>
                <w:sz w:val="24"/>
              </w:rPr>
              <w:t xml:space="preserve">Following the work of a University Working Group the Code has been </w:t>
            </w:r>
            <w:r w:rsidR="00593E4B">
              <w:rPr>
                <w:rFonts w:ascii="Calibri" w:hAnsi="Calibri" w:cs="Calibri"/>
                <w:sz w:val="24"/>
              </w:rPr>
              <w:t xml:space="preserve">revised. Amendments </w:t>
            </w:r>
            <w:r w:rsidR="00AB4FEC">
              <w:rPr>
                <w:rFonts w:ascii="Calibri" w:hAnsi="Calibri" w:cs="Calibri"/>
                <w:sz w:val="24"/>
              </w:rPr>
              <w:t>include:</w:t>
            </w:r>
          </w:p>
          <w:p w:rsidRPr="00AB4FEC" w:rsidR="00AB4FEC" w:rsidP="00AB4FEC" w:rsidRDefault="00AB4FEC" w14:paraId="2A958B9F" w14:textId="15B3F84C">
            <w:pPr>
              <w:pStyle w:val="ListParagraph"/>
              <w:numPr>
                <w:ilvl w:val="0"/>
                <w:numId w:val="38"/>
              </w:numPr>
              <w:jc w:val="left"/>
              <w:rPr>
                <w:rFonts w:ascii="Calibri" w:hAnsi="Calibri" w:cs="Calibri"/>
                <w:sz w:val="24"/>
              </w:rPr>
            </w:pPr>
            <w:r w:rsidRPr="00AB4FEC">
              <w:rPr>
                <w:rFonts w:ascii="Calibri" w:hAnsi="Calibri" w:cs="Calibri"/>
                <w:sz w:val="24"/>
              </w:rPr>
              <w:t>Removal of two types of external examiner.  The</w:t>
            </w:r>
            <w:r>
              <w:rPr>
                <w:rFonts w:ascii="Calibri" w:hAnsi="Calibri" w:cs="Calibri"/>
                <w:sz w:val="24"/>
              </w:rPr>
              <w:t>re</w:t>
            </w:r>
            <w:r w:rsidRPr="00AB4FEC">
              <w:rPr>
                <w:rFonts w:ascii="Calibri" w:hAnsi="Calibri" w:cs="Calibri"/>
                <w:sz w:val="24"/>
              </w:rPr>
              <w:t xml:space="preserve"> is no longer a distinction between EE’s.</w:t>
            </w:r>
            <w:r>
              <w:rPr>
                <w:rFonts w:ascii="Calibri" w:hAnsi="Calibri" w:cs="Calibri"/>
                <w:sz w:val="24"/>
              </w:rPr>
              <w:t xml:space="preserve"> </w:t>
            </w:r>
            <w:r w:rsidRPr="00AB4FEC">
              <w:rPr>
                <w:rFonts w:ascii="Calibri" w:hAnsi="Calibri" w:cs="Calibri"/>
                <w:sz w:val="24"/>
              </w:rPr>
              <w:t>External examiners will be advised on appointment, which programme(s), modules, or other elements they will be responsible for overseeing.</w:t>
            </w:r>
          </w:p>
          <w:p w:rsidRPr="00AB4FEC" w:rsidR="00AB4FEC" w:rsidP="00AB4FEC" w:rsidRDefault="00AB4FEC" w14:paraId="461A135A" w14:textId="77777777">
            <w:pPr>
              <w:pStyle w:val="ListParagraph"/>
              <w:numPr>
                <w:ilvl w:val="0"/>
                <w:numId w:val="38"/>
              </w:numPr>
              <w:jc w:val="left"/>
              <w:rPr>
                <w:rFonts w:ascii="Calibri" w:hAnsi="Calibri" w:cs="Calibri"/>
                <w:sz w:val="24"/>
              </w:rPr>
            </w:pPr>
            <w:r w:rsidRPr="00AB4FEC">
              <w:rPr>
                <w:rFonts w:ascii="Calibri" w:hAnsi="Calibri" w:cs="Calibri"/>
                <w:sz w:val="24"/>
              </w:rPr>
              <w:t>Section 7 clarifies it is appropriate for an EE to look at a representative sample of student output from the full range of marks awarded – and includes a representative sample of FAILS.</w:t>
            </w:r>
          </w:p>
          <w:p w:rsidRPr="00AB4FEC" w:rsidR="00AB4FEC" w:rsidP="00AB4FEC" w:rsidRDefault="00AB4FEC" w14:paraId="71652D33" w14:textId="77777777">
            <w:pPr>
              <w:pStyle w:val="ListParagraph"/>
              <w:numPr>
                <w:ilvl w:val="0"/>
                <w:numId w:val="38"/>
              </w:numPr>
              <w:jc w:val="left"/>
              <w:rPr>
                <w:rFonts w:ascii="Calibri" w:hAnsi="Calibri" w:cs="Calibri"/>
                <w:sz w:val="24"/>
              </w:rPr>
            </w:pPr>
            <w:r w:rsidRPr="00AB4FEC">
              <w:rPr>
                <w:rFonts w:ascii="Calibri" w:hAnsi="Calibri" w:cs="Calibri"/>
                <w:sz w:val="24"/>
              </w:rPr>
              <w:t>8.3 – attendance is not a requirement for EE’s to participate in Boards of Examiners at which credit is awarded, progression issues are determined, and degrees are awarded.</w:t>
            </w:r>
          </w:p>
          <w:p w:rsidRPr="00AB4FEC" w:rsidR="00AB4FEC" w:rsidP="00AB4FEC" w:rsidRDefault="00AB4FEC" w14:paraId="17AB4547" w14:textId="4253EB2F">
            <w:pPr>
              <w:pStyle w:val="ListParagraph"/>
              <w:numPr>
                <w:ilvl w:val="0"/>
                <w:numId w:val="38"/>
              </w:numPr>
              <w:jc w:val="left"/>
              <w:rPr>
                <w:rFonts w:ascii="Calibri" w:hAnsi="Calibri" w:cs="Calibri"/>
                <w:sz w:val="24"/>
              </w:rPr>
            </w:pPr>
            <w:r w:rsidRPr="00AB4FEC">
              <w:rPr>
                <w:rFonts w:ascii="Calibri" w:hAnsi="Calibri" w:cs="Calibri"/>
                <w:sz w:val="24"/>
              </w:rPr>
              <w:t>Removes reference to EE’s confirming decisions made at exam boards where credit is awarded, progression issues are determined, and degrees are awarded.</w:t>
            </w:r>
          </w:p>
          <w:p w:rsidR="00830BC7" w:rsidP="005431C4" w:rsidRDefault="00830BC7" w14:paraId="7A6BF6FE" w14:textId="77777777">
            <w:pPr>
              <w:jc w:val="left"/>
              <w:rPr>
                <w:rFonts w:ascii="Calibri" w:hAnsi="Calibri" w:cs="Calibri"/>
                <w:sz w:val="24"/>
              </w:rPr>
            </w:pPr>
          </w:p>
          <w:p w:rsidR="001F5906" w:rsidP="005431C4" w:rsidRDefault="00131801" w14:paraId="773AE885" w14:textId="350DA149">
            <w:pPr>
              <w:jc w:val="left"/>
              <w:rPr>
                <w:rFonts w:ascii="Calibri" w:hAnsi="Calibri" w:cs="Calibri"/>
                <w:sz w:val="24"/>
              </w:rPr>
            </w:pPr>
            <w:r>
              <w:rPr>
                <w:rFonts w:ascii="Calibri" w:hAnsi="Calibri" w:cs="Calibri"/>
                <w:sz w:val="24"/>
              </w:rPr>
              <w:t>Based on the above changes, t</w:t>
            </w:r>
            <w:r w:rsidR="001F5906">
              <w:rPr>
                <w:rFonts w:ascii="Calibri" w:hAnsi="Calibri" w:cs="Calibri"/>
                <w:sz w:val="24"/>
              </w:rPr>
              <w:t>here have also been revisions to the EE annual report and EE nomination form.</w:t>
            </w:r>
          </w:p>
          <w:p w:rsidR="001F5906" w:rsidP="005431C4" w:rsidRDefault="001F5906" w14:paraId="640A5453" w14:textId="77777777">
            <w:pPr>
              <w:jc w:val="left"/>
              <w:rPr>
                <w:rFonts w:ascii="Calibri" w:hAnsi="Calibri" w:cs="Calibri"/>
                <w:sz w:val="24"/>
              </w:rPr>
            </w:pPr>
          </w:p>
          <w:p w:rsidR="005431C4" w:rsidP="005431C4" w:rsidRDefault="00830BC7" w14:paraId="259BACC0" w14:textId="6BCCAFEA">
            <w:pPr>
              <w:jc w:val="left"/>
              <w:rPr>
                <w:rFonts w:ascii="Calibri" w:hAnsi="Calibri" w:cs="Calibri"/>
                <w:sz w:val="24"/>
              </w:rPr>
            </w:pPr>
            <w:r>
              <w:rPr>
                <w:rFonts w:ascii="Calibri" w:hAnsi="Calibri" w:cs="Calibri"/>
                <w:sz w:val="24"/>
              </w:rPr>
              <w:t>The</w:t>
            </w:r>
            <w:r w:rsidR="001F5906">
              <w:rPr>
                <w:rFonts w:ascii="Calibri" w:hAnsi="Calibri" w:cs="Calibri"/>
                <w:sz w:val="24"/>
              </w:rPr>
              <w:t xml:space="preserve">se will </w:t>
            </w:r>
            <w:r>
              <w:rPr>
                <w:rFonts w:ascii="Calibri" w:hAnsi="Calibri" w:cs="Calibri"/>
                <w:sz w:val="24"/>
              </w:rPr>
              <w:t>be available shortly.</w:t>
            </w:r>
          </w:p>
          <w:p w:rsidRPr="00086AA5" w:rsidR="005431C4" w:rsidP="005431C4" w:rsidRDefault="005431C4" w14:paraId="4336DE08" w14:textId="6C74AB2B">
            <w:pPr>
              <w:contextualSpacing/>
              <w:jc w:val="right"/>
              <w:rPr>
                <w:rFonts w:ascii="Calibri" w:hAnsi="Calibri" w:cs="Calibri"/>
                <w:noProof/>
                <w:sz w:val="24"/>
              </w:rPr>
            </w:pPr>
            <w:r>
              <w:rPr>
                <w:rFonts w:ascii="Calibri" w:hAnsi="Calibri" w:cs="Calibri"/>
                <w:noProof/>
                <w:sz w:val="24"/>
              </w:rPr>
              <w:t>Education Committee, May 2023</w:t>
            </w:r>
          </w:p>
        </w:tc>
        <w:tc>
          <w:tcPr>
            <w:tcW w:w="3321" w:type="dxa"/>
          </w:tcPr>
          <w:p w:rsidRPr="00F90387" w:rsidR="00A91962" w:rsidP="00110E1E" w:rsidRDefault="00A91962" w14:paraId="2AF0A58F"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106AC0" w:rsidR="00A91962" w:rsidP="00110E1E" w:rsidRDefault="00A91962" w14:paraId="6D0C31D1" w14:textId="77777777">
            <w:pPr>
              <w:spacing w:after="120"/>
              <w:jc w:val="left"/>
              <w:rPr>
                <w:rFonts w:ascii="Calibri" w:hAnsi="Calibri" w:cs="Calibri"/>
                <w:color w:val="000000"/>
                <w:sz w:val="24"/>
                <w:highlight w:val="yellow"/>
              </w:rPr>
            </w:pPr>
            <w:r w:rsidRPr="00F90387">
              <w:rPr>
                <w:rFonts w:ascii="Calibri" w:hAnsi="Calibri" w:cs="Calibri"/>
                <w:color w:val="000000"/>
                <w:sz w:val="24"/>
              </w:rPr>
              <w:t>Application to collaborative provision: mandatory</w:t>
            </w:r>
          </w:p>
        </w:tc>
      </w:tr>
    </w:tbl>
    <w:p w:rsidR="00A91962" w:rsidP="00A91962" w:rsidRDefault="00A91962" w14:paraId="3C2B337C" w14:textId="77777777">
      <w:pPr>
        <w:pStyle w:val="Heading2"/>
        <w:rPr>
          <w:color w:val="0070C0"/>
          <w:szCs w:val="20"/>
        </w:rPr>
      </w:pPr>
    </w:p>
    <w:p w:rsidR="00A91962" w:rsidP="00A91962" w:rsidRDefault="00A91962" w14:paraId="4BF93FBF" w14:textId="77777777">
      <w:pPr>
        <w:pStyle w:val="Heading2"/>
        <w:rPr>
          <w:color w:val="0070C0"/>
          <w:szCs w:val="20"/>
        </w:rPr>
      </w:pPr>
    </w:p>
    <w:p w:rsidRPr="00A91962" w:rsidR="00A91962" w:rsidP="00A91962" w:rsidRDefault="00A91962" w14:paraId="54A35629" w14:textId="6062DE5B">
      <w:pPr>
        <w:pStyle w:val="Heading2"/>
        <w:rPr>
          <w:color w:val="0070C0"/>
          <w:szCs w:val="20"/>
        </w:rPr>
      </w:pPr>
      <w:bookmarkStart w:name="_Toc137199605" w:id="9"/>
      <w:r w:rsidRPr="00A91962">
        <w:rPr>
          <w:color w:val="0070C0"/>
          <w:szCs w:val="20"/>
        </w:rPr>
        <w:t>STUDENT INFORMATION</w:t>
      </w:r>
      <w:bookmarkEnd w:id="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A91962" w:rsidTr="00110E1E" w14:paraId="6D038158" w14:textId="77777777">
        <w:trPr>
          <w:tblHeader/>
        </w:trPr>
        <w:tc>
          <w:tcPr>
            <w:tcW w:w="3470" w:type="dxa"/>
            <w:shd w:val="clear" w:color="auto" w:fill="D0CECE"/>
          </w:tcPr>
          <w:p w:rsidRPr="00C85B48" w:rsidR="00A91962" w:rsidP="00110E1E" w:rsidRDefault="00A91962" w14:paraId="192D4C19"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A91962" w:rsidP="00110E1E" w:rsidRDefault="00A91962" w14:paraId="79CD2675" w14:textId="77777777">
            <w:pPr>
              <w:jc w:val="center"/>
              <w:rPr>
                <w:rFonts w:cs="Arial"/>
                <w:sz w:val="22"/>
                <w:szCs w:val="22"/>
              </w:rPr>
            </w:pPr>
            <w:r w:rsidRPr="00C85B48">
              <w:rPr>
                <w:b/>
                <w:sz w:val="22"/>
                <w:szCs w:val="22"/>
              </w:rPr>
              <w:t>Details</w:t>
            </w:r>
          </w:p>
        </w:tc>
        <w:tc>
          <w:tcPr>
            <w:tcW w:w="3321" w:type="dxa"/>
            <w:shd w:val="clear" w:color="auto" w:fill="D0CECE"/>
          </w:tcPr>
          <w:p w:rsidRPr="00C85B48" w:rsidR="00A91962" w:rsidP="00110E1E" w:rsidRDefault="00A91962" w14:paraId="4E494C5E" w14:textId="77777777">
            <w:pPr>
              <w:jc w:val="center"/>
              <w:rPr>
                <w:color w:val="000000"/>
                <w:sz w:val="22"/>
                <w:szCs w:val="22"/>
              </w:rPr>
            </w:pPr>
            <w:r w:rsidRPr="00C85B48">
              <w:rPr>
                <w:b/>
                <w:sz w:val="22"/>
                <w:szCs w:val="22"/>
              </w:rPr>
              <w:t>Implementation</w:t>
            </w:r>
          </w:p>
        </w:tc>
      </w:tr>
      <w:tr w:rsidRPr="00C85B48" w:rsidR="00A91962" w:rsidTr="006E3AD3" w14:paraId="1EAF3D84" w14:textId="77777777">
        <w:tc>
          <w:tcPr>
            <w:tcW w:w="3470" w:type="dxa"/>
            <w:shd w:val="clear" w:color="auto" w:fill="auto"/>
          </w:tcPr>
          <w:p w:rsidRPr="002F0CBC" w:rsidR="00A91962" w:rsidP="00A91962" w:rsidRDefault="00A91962" w14:paraId="3A860CF2" w14:textId="7D03CD9D">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Suspension of Study </w:t>
            </w:r>
          </w:p>
        </w:tc>
        <w:tc>
          <w:tcPr>
            <w:tcW w:w="7157" w:type="dxa"/>
            <w:shd w:val="clear" w:color="auto" w:fill="auto"/>
          </w:tcPr>
          <w:p w:rsidR="00A91962" w:rsidP="00A91962" w:rsidRDefault="00A91962" w14:paraId="249219DC" w14:textId="77777777">
            <w:pPr>
              <w:spacing w:after="120"/>
              <w:jc w:val="left"/>
              <w:rPr>
                <w:rFonts w:ascii="Calibri" w:hAnsi="Calibri" w:cs="Calibri"/>
                <w:sz w:val="24"/>
              </w:rPr>
            </w:pPr>
            <w:r w:rsidRPr="00EA500B">
              <w:rPr>
                <w:rFonts w:ascii="Calibri" w:hAnsi="Calibri" w:cs="Calibri"/>
                <w:sz w:val="24"/>
              </w:rPr>
              <w:t>Amendment</w:t>
            </w:r>
            <w:r>
              <w:rPr>
                <w:rFonts w:ascii="Calibri" w:hAnsi="Calibri" w:cs="Calibri"/>
                <w:sz w:val="24"/>
              </w:rPr>
              <w:t>s</w:t>
            </w:r>
            <w:r w:rsidRPr="00EA500B">
              <w:rPr>
                <w:rFonts w:ascii="Calibri" w:hAnsi="Calibri" w:cs="Calibri"/>
                <w:sz w:val="24"/>
              </w:rPr>
              <w:t xml:space="preserve"> ha</w:t>
            </w:r>
            <w:r>
              <w:rPr>
                <w:rFonts w:ascii="Calibri" w:hAnsi="Calibri" w:cs="Calibri"/>
                <w:sz w:val="24"/>
              </w:rPr>
              <w:t>ve</w:t>
            </w:r>
            <w:r w:rsidRPr="00EA500B">
              <w:rPr>
                <w:rFonts w:ascii="Calibri" w:hAnsi="Calibri" w:cs="Calibri"/>
                <w:sz w:val="24"/>
              </w:rPr>
              <w:t xml:space="preserve"> been made to the Code to make clear</w:t>
            </w:r>
            <w:r>
              <w:rPr>
                <w:rFonts w:ascii="Calibri" w:hAnsi="Calibri" w:cs="Calibri"/>
                <w:sz w:val="24"/>
              </w:rPr>
              <w:t>:</w:t>
            </w:r>
          </w:p>
          <w:p w:rsidRPr="00150EFB" w:rsidR="00A91962" w:rsidP="00A91962" w:rsidRDefault="00A91962" w14:paraId="13F6C26C" w14:textId="77777777">
            <w:pPr>
              <w:pStyle w:val="ListParagraph"/>
              <w:numPr>
                <w:ilvl w:val="0"/>
                <w:numId w:val="30"/>
              </w:numPr>
              <w:spacing w:after="120"/>
              <w:jc w:val="left"/>
              <w:rPr>
                <w:rFonts w:ascii="Calibri" w:hAnsi="Calibri" w:cs="Calibri"/>
                <w:color w:val="000000"/>
                <w:sz w:val="24"/>
              </w:rPr>
            </w:pPr>
            <w:r w:rsidRPr="00150EFB">
              <w:rPr>
                <w:rFonts w:ascii="Calibri" w:hAnsi="Calibri" w:cs="Calibri"/>
                <w:color w:val="000000"/>
                <w:sz w:val="24"/>
              </w:rPr>
              <w:t>Section 2 applies to students who request a period of suspension that is planned or in response to personal problems that are affecting their ability to study effectively.</w:t>
            </w:r>
          </w:p>
          <w:p w:rsidRPr="00150EFB" w:rsidR="00A91962" w:rsidP="00A91962" w:rsidRDefault="00A91962" w14:paraId="7C8D773B" w14:textId="77777777">
            <w:pPr>
              <w:pStyle w:val="ListParagraph"/>
              <w:numPr>
                <w:ilvl w:val="0"/>
                <w:numId w:val="30"/>
              </w:numPr>
              <w:spacing w:after="120"/>
              <w:jc w:val="left"/>
              <w:rPr>
                <w:rFonts w:ascii="Calibri" w:hAnsi="Calibri" w:cs="Calibri"/>
                <w:color w:val="000000"/>
                <w:sz w:val="24"/>
              </w:rPr>
            </w:pPr>
            <w:r w:rsidRPr="00150EFB">
              <w:rPr>
                <w:rFonts w:ascii="Calibri" w:hAnsi="Calibri" w:cs="Calibri"/>
                <w:color w:val="000000"/>
                <w:sz w:val="24"/>
              </w:rPr>
              <w:t>Section 3 applies to students who require  a period of suspension to complete outstanding assessments.</w:t>
            </w:r>
          </w:p>
          <w:p w:rsidR="005431C4" w:rsidP="005431C4" w:rsidRDefault="00A91962" w14:paraId="05AB047C" w14:textId="77777777">
            <w:pPr>
              <w:pStyle w:val="ListParagraph"/>
              <w:numPr>
                <w:ilvl w:val="0"/>
                <w:numId w:val="30"/>
              </w:numPr>
              <w:spacing w:after="120"/>
              <w:jc w:val="left"/>
              <w:rPr>
                <w:rFonts w:ascii="Calibri" w:hAnsi="Calibri" w:cs="Calibri"/>
                <w:color w:val="000000"/>
                <w:sz w:val="24"/>
              </w:rPr>
            </w:pPr>
            <w:r w:rsidRPr="00150EFB">
              <w:rPr>
                <w:rFonts w:ascii="Calibri" w:hAnsi="Calibri" w:cs="Calibri"/>
                <w:color w:val="000000"/>
                <w:sz w:val="24"/>
              </w:rPr>
              <w:t>Sections 4, 5 and 6 apply to all students who request a period of suspension.</w:t>
            </w:r>
          </w:p>
          <w:p w:rsidR="00A91962" w:rsidP="005431C4" w:rsidRDefault="00A91962" w14:paraId="4896B2D0" w14:textId="77777777">
            <w:pPr>
              <w:pStyle w:val="ListParagraph"/>
              <w:numPr>
                <w:ilvl w:val="0"/>
                <w:numId w:val="30"/>
              </w:numPr>
              <w:spacing w:after="120"/>
              <w:jc w:val="left"/>
              <w:rPr>
                <w:rFonts w:ascii="Calibri" w:hAnsi="Calibri" w:cs="Calibri"/>
                <w:color w:val="000000"/>
                <w:sz w:val="24"/>
              </w:rPr>
            </w:pPr>
            <w:r w:rsidRPr="005431C4">
              <w:rPr>
                <w:rFonts w:ascii="Calibri" w:hAnsi="Calibri" w:cs="Calibri"/>
                <w:color w:val="000000"/>
                <w:sz w:val="24"/>
              </w:rPr>
              <w:t>The suspension of study process differs for apprenticeship provision (1.2). An additional paragraph has been added for apprenticeship programmes (2.3).</w:t>
            </w:r>
          </w:p>
          <w:p w:rsidR="005431C4" w:rsidP="005431C4" w:rsidRDefault="005431C4" w14:paraId="57AA1F6D" w14:textId="77777777">
            <w:pPr>
              <w:pStyle w:val="ListParagraph"/>
              <w:spacing w:after="120"/>
              <w:ind w:left="360"/>
              <w:jc w:val="left"/>
              <w:rPr>
                <w:rFonts w:ascii="Calibri" w:hAnsi="Calibri" w:cs="Calibri"/>
                <w:color w:val="000000"/>
                <w:sz w:val="24"/>
              </w:rPr>
            </w:pPr>
          </w:p>
          <w:p w:rsidRPr="005431C4" w:rsidR="005431C4" w:rsidP="005431C4" w:rsidRDefault="005431C4" w14:paraId="43AB830B" w14:textId="6E06E6EA">
            <w:pPr>
              <w:contextualSpacing/>
              <w:jc w:val="right"/>
              <w:rPr>
                <w:rFonts w:ascii="Calibri" w:hAnsi="Calibri" w:cs="Calibri"/>
                <w:noProof/>
                <w:sz w:val="24"/>
              </w:rPr>
            </w:pPr>
            <w:r>
              <w:rPr>
                <w:rFonts w:ascii="Calibri" w:hAnsi="Calibri" w:cs="Calibri"/>
                <w:noProof/>
                <w:sz w:val="24"/>
              </w:rPr>
              <w:t>Education Committee, May 2023</w:t>
            </w:r>
          </w:p>
        </w:tc>
        <w:tc>
          <w:tcPr>
            <w:tcW w:w="3321" w:type="dxa"/>
          </w:tcPr>
          <w:p w:rsidRPr="00F90387" w:rsidR="00A91962" w:rsidP="00A91962" w:rsidRDefault="00A91962" w14:paraId="5C3409E8"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106AC0" w:rsidR="00A91962" w:rsidP="00A91962" w:rsidRDefault="00A91962" w14:paraId="1674ECDB" w14:textId="536CF660">
            <w:pPr>
              <w:spacing w:after="120"/>
              <w:jc w:val="left"/>
              <w:rPr>
                <w:rFonts w:ascii="Calibri" w:hAnsi="Calibri" w:cs="Calibri"/>
                <w:color w:val="000000"/>
                <w:sz w:val="24"/>
                <w:highlight w:val="yellow"/>
              </w:rPr>
            </w:pPr>
            <w:r w:rsidRPr="00F90387">
              <w:rPr>
                <w:rFonts w:ascii="Calibri" w:hAnsi="Calibri" w:cs="Calibri"/>
                <w:color w:val="000000"/>
                <w:sz w:val="24"/>
              </w:rPr>
              <w:t>Application to collaborative provision: mandatory</w:t>
            </w:r>
          </w:p>
        </w:tc>
      </w:tr>
      <w:tr w:rsidRPr="00C85B48" w:rsidR="00A91962" w:rsidTr="006E3AD3" w14:paraId="1180A89C" w14:textId="77777777">
        <w:tc>
          <w:tcPr>
            <w:tcW w:w="3470" w:type="dxa"/>
            <w:shd w:val="clear" w:color="auto" w:fill="auto"/>
          </w:tcPr>
          <w:p w:rsidRPr="00EA500B" w:rsidR="00A91962" w:rsidP="00A91962" w:rsidRDefault="00A91962" w14:paraId="3424FA90" w14:textId="7EB4605E">
            <w:pPr>
              <w:tabs>
                <w:tab w:val="left" w:pos="567"/>
                <w:tab w:val="center" w:pos="4464"/>
                <w:tab w:val="right" w:pos="8928"/>
                <w:tab w:val="right" w:pos="9020"/>
                <w:tab w:val="right" w:pos="9072"/>
              </w:tabs>
              <w:jc w:val="left"/>
              <w:rPr>
                <w:rFonts w:ascii="Calibri" w:hAnsi="Calibri" w:cs="Calibri"/>
                <w:b/>
                <w:bCs/>
                <w:sz w:val="24"/>
              </w:rPr>
            </w:pPr>
            <w:r w:rsidRPr="00A91962">
              <w:rPr>
                <w:rFonts w:ascii="Calibri" w:hAnsi="Calibri" w:cs="Calibri"/>
                <w:b/>
                <w:bCs/>
                <w:sz w:val="24"/>
              </w:rPr>
              <w:t>University Code of Practice:  Academic Appeals</w:t>
            </w:r>
          </w:p>
        </w:tc>
        <w:tc>
          <w:tcPr>
            <w:tcW w:w="7157" w:type="dxa"/>
            <w:shd w:val="clear" w:color="auto" w:fill="auto"/>
          </w:tcPr>
          <w:p w:rsidR="00A91962" w:rsidP="00A91962" w:rsidRDefault="00A91962" w14:paraId="2C43BAC1" w14:textId="77777777">
            <w:pPr>
              <w:spacing w:after="120"/>
              <w:jc w:val="left"/>
              <w:rPr>
                <w:rFonts w:ascii="Calibri" w:hAnsi="Calibri" w:cs="Calibri"/>
                <w:sz w:val="24"/>
              </w:rPr>
            </w:pPr>
            <w:r>
              <w:rPr>
                <w:rFonts w:ascii="Calibri" w:hAnsi="Calibri" w:cs="Calibri"/>
                <w:sz w:val="24"/>
              </w:rPr>
              <w:t>Following the work of a University Working Group the Code has been amended</w:t>
            </w:r>
            <w:r w:rsidR="005431C4">
              <w:rPr>
                <w:rFonts w:ascii="Calibri" w:hAnsi="Calibri" w:cs="Calibri"/>
                <w:sz w:val="24"/>
              </w:rPr>
              <w:t xml:space="preserve"> to include</w:t>
            </w:r>
            <w:r>
              <w:rPr>
                <w:rFonts w:ascii="Calibri" w:hAnsi="Calibri" w:cs="Calibri"/>
                <w:sz w:val="24"/>
              </w:rPr>
              <w:t>:</w:t>
            </w:r>
          </w:p>
          <w:p w:rsidRPr="005431C4" w:rsidR="005431C4" w:rsidP="005431C4" w:rsidRDefault="005431C4" w14:paraId="492EC1B1"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a new introductory section to outline the purpose and principles,</w:t>
            </w:r>
          </w:p>
          <w:p w:rsidRPr="005431C4" w:rsidR="005431C4" w:rsidP="005431C4" w:rsidRDefault="005431C4" w14:paraId="21C97BA5"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expansion and revision of definitions, </w:t>
            </w:r>
          </w:p>
          <w:p w:rsidRPr="005431C4" w:rsidR="005431C4" w:rsidP="005431C4" w:rsidRDefault="005431C4" w14:paraId="49992256"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an outline of the academic bodies of which decisions can be appealed, to introduce consistency in terminology, </w:t>
            </w:r>
          </w:p>
          <w:p w:rsidRPr="005431C4" w:rsidR="005431C4" w:rsidP="005431C4" w:rsidRDefault="005431C4" w14:paraId="12C71C54"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further specifics on declarations of interest, </w:t>
            </w:r>
          </w:p>
          <w:p w:rsidRPr="005431C4" w:rsidR="005431C4" w:rsidP="005431C4" w:rsidRDefault="005431C4" w14:paraId="7B96893F"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further information on academic judgement, </w:t>
            </w:r>
          </w:p>
          <w:p w:rsidRPr="005431C4" w:rsidR="005431C4" w:rsidP="005431C4" w:rsidRDefault="005431C4" w14:paraId="591C21B5"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clarification of the role of SCC, </w:t>
            </w:r>
          </w:p>
          <w:p w:rsidRPr="005431C4" w:rsidR="005431C4" w:rsidP="005431C4" w:rsidRDefault="005431C4" w14:paraId="27460548"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t xml:space="preserve">and the broad tracking of issues to aid ongoing enhancement in this area.      </w:t>
            </w:r>
          </w:p>
          <w:p w:rsidR="005431C4" w:rsidP="005431C4" w:rsidRDefault="005431C4" w14:paraId="44455D8B" w14:textId="77777777">
            <w:pPr>
              <w:pStyle w:val="ListParagraph"/>
              <w:numPr>
                <w:ilvl w:val="0"/>
                <w:numId w:val="31"/>
              </w:numPr>
              <w:spacing w:after="120"/>
              <w:jc w:val="left"/>
              <w:rPr>
                <w:rFonts w:ascii="Calibri" w:hAnsi="Calibri" w:cs="Calibri"/>
                <w:sz w:val="24"/>
              </w:rPr>
            </w:pPr>
            <w:r w:rsidRPr="005431C4">
              <w:rPr>
                <w:rFonts w:ascii="Calibri" w:hAnsi="Calibri" w:cs="Calibri"/>
                <w:sz w:val="24"/>
              </w:rPr>
              <w:lastRenderedPageBreak/>
              <w:t>some adjustments have been made to timeframes to support a timely and consistent process.</w:t>
            </w:r>
          </w:p>
          <w:p w:rsidRPr="005431C4" w:rsidR="005431C4" w:rsidP="005431C4" w:rsidRDefault="005431C4" w14:paraId="5519E2E7" w14:textId="77777777">
            <w:pPr>
              <w:pStyle w:val="ListParagraph"/>
              <w:spacing w:after="120"/>
              <w:ind w:left="360"/>
              <w:jc w:val="left"/>
              <w:rPr>
                <w:rFonts w:ascii="Calibri" w:hAnsi="Calibri" w:cs="Calibri"/>
                <w:sz w:val="24"/>
              </w:rPr>
            </w:pPr>
          </w:p>
          <w:p w:rsidRPr="005431C4" w:rsidR="005431C4" w:rsidP="005431C4" w:rsidRDefault="005431C4" w14:paraId="09AD28C7" w14:textId="04E62933">
            <w:pPr>
              <w:contextualSpacing/>
              <w:jc w:val="right"/>
              <w:rPr>
                <w:rFonts w:ascii="Calibri" w:hAnsi="Calibri" w:cs="Calibri"/>
                <w:noProof/>
                <w:sz w:val="24"/>
              </w:rPr>
            </w:pPr>
            <w:r>
              <w:rPr>
                <w:rFonts w:ascii="Calibri" w:hAnsi="Calibri" w:cs="Calibri"/>
                <w:noProof/>
                <w:sz w:val="24"/>
              </w:rPr>
              <w:t>Education Committee, May 2023</w:t>
            </w:r>
          </w:p>
        </w:tc>
        <w:tc>
          <w:tcPr>
            <w:tcW w:w="3321" w:type="dxa"/>
          </w:tcPr>
          <w:p w:rsidRPr="00F90387" w:rsidR="005431C4" w:rsidP="005431C4" w:rsidRDefault="005431C4" w14:paraId="62B52CF7"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Sept 2023</w:t>
            </w:r>
          </w:p>
          <w:p w:rsidRPr="00F90387" w:rsidR="00A91962" w:rsidP="005431C4" w:rsidRDefault="005431C4" w14:paraId="53021230" w14:textId="5B8AE92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bookmarkEnd w:id="6"/>
    </w:tbl>
    <w:p w:rsidRPr="00A91962" w:rsidR="00A91962" w:rsidP="00A91962" w:rsidRDefault="00A91962" w14:paraId="1E667A1A" w14:textId="77777777">
      <w:pPr>
        <w:pStyle w:val="Heading4"/>
        <w:numPr>
          <w:ilvl w:val="0"/>
          <w:numId w:val="0"/>
        </w:numPr>
        <w:ind w:left="567" w:hanging="567"/>
      </w:pPr>
    </w:p>
    <w:p w:rsidR="00277AEF" w:rsidP="00277AEF" w:rsidRDefault="00277AEF" w14:paraId="5804A9AD" w14:textId="77777777">
      <w:pPr>
        <w:pStyle w:val="Heading2"/>
        <w:rPr>
          <w:color w:val="0070C0"/>
          <w:sz w:val="24"/>
          <w:szCs w:val="24"/>
        </w:rPr>
      </w:pPr>
    </w:p>
    <w:p w:rsidRPr="007E1986" w:rsidR="00277AEF" w:rsidP="00277AEF" w:rsidRDefault="00277AEF" w14:paraId="45EE3CEC" w14:textId="1FF1F354">
      <w:pPr>
        <w:pStyle w:val="Heading2"/>
        <w:rPr>
          <w:rStyle w:val="arial12"/>
          <w:b w:val="0"/>
          <w:color w:val="0070C0"/>
          <w:szCs w:val="24"/>
        </w:rPr>
      </w:pPr>
      <w:bookmarkStart w:name="_Toc137199606" w:id="10"/>
      <w:r>
        <w:rPr>
          <w:color w:val="0070C0"/>
          <w:sz w:val="24"/>
          <w:szCs w:val="24"/>
        </w:rPr>
        <w:t>H</w:t>
      </w:r>
      <w:r w:rsidR="00074B8D">
        <w:rPr>
          <w:color w:val="0070C0"/>
          <w:sz w:val="24"/>
          <w:szCs w:val="24"/>
        </w:rPr>
        <w:t>OUSEKEEPING</w:t>
      </w:r>
      <w:bookmarkEnd w:id="10"/>
    </w:p>
    <w:p w:rsidRPr="00CA5485" w:rsidR="00277AEF" w:rsidP="00277AEF" w:rsidRDefault="00277AEF" w14:paraId="5FA3F2DD"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4079D4" w:rsidR="00277AEF" w:rsidTr="00277AEF" w14:paraId="0AABCFD5" w14:textId="77777777">
        <w:tc>
          <w:tcPr>
            <w:tcW w:w="3539" w:type="dxa"/>
            <w:shd w:val="clear" w:color="auto" w:fill="D0CECE"/>
            <w:vAlign w:val="center"/>
          </w:tcPr>
          <w:p w:rsidRPr="004079D4" w:rsidR="00277AEF" w:rsidP="00F53CFD" w:rsidRDefault="00277AEF" w14:paraId="2FA8ECEA" w14:textId="77777777">
            <w:pPr>
              <w:jc w:val="center"/>
              <w:rPr>
                <w:rFonts w:cs="Arial"/>
                <w:b/>
                <w:bCs/>
                <w:sz w:val="22"/>
                <w:szCs w:val="22"/>
              </w:rPr>
            </w:pPr>
            <w:r w:rsidRPr="004079D4">
              <w:rPr>
                <w:rFonts w:cs="Arial"/>
                <w:b/>
                <w:bCs/>
                <w:sz w:val="22"/>
                <w:szCs w:val="22"/>
              </w:rPr>
              <w:t>Quality Handbook</w:t>
            </w:r>
          </w:p>
        </w:tc>
        <w:tc>
          <w:tcPr>
            <w:tcW w:w="7088" w:type="dxa"/>
            <w:shd w:val="clear" w:color="auto" w:fill="D0CECE"/>
            <w:vAlign w:val="center"/>
          </w:tcPr>
          <w:p w:rsidRPr="004079D4" w:rsidR="00277AEF" w:rsidP="00F53CFD" w:rsidRDefault="00277AEF" w14:paraId="4DDB4841" w14:textId="0921E513">
            <w:pPr>
              <w:jc w:val="center"/>
              <w:rPr>
                <w:b/>
                <w:bCs/>
                <w:color w:val="000000"/>
                <w:sz w:val="22"/>
                <w:szCs w:val="22"/>
              </w:rPr>
            </w:pPr>
            <w:r>
              <w:rPr>
                <w:rFonts w:cs="Arial"/>
                <w:b/>
                <w:bCs/>
                <w:sz w:val="22"/>
                <w:szCs w:val="22"/>
              </w:rPr>
              <w:t xml:space="preserve">Details </w:t>
            </w:r>
          </w:p>
        </w:tc>
        <w:tc>
          <w:tcPr>
            <w:tcW w:w="3321" w:type="dxa"/>
            <w:shd w:val="clear" w:color="auto" w:fill="D0CECE"/>
            <w:vAlign w:val="center"/>
          </w:tcPr>
          <w:p w:rsidRPr="004079D4" w:rsidR="00277AEF" w:rsidP="00F53CFD" w:rsidRDefault="00277AEF" w14:paraId="706FC37F" w14:textId="671ED547">
            <w:pPr>
              <w:jc w:val="center"/>
              <w:rPr>
                <w:b/>
                <w:bCs/>
                <w:color w:val="000000"/>
                <w:sz w:val="22"/>
                <w:szCs w:val="22"/>
              </w:rPr>
            </w:pPr>
            <w:r>
              <w:rPr>
                <w:b/>
                <w:bCs/>
                <w:color w:val="000000"/>
                <w:sz w:val="22"/>
                <w:szCs w:val="22"/>
              </w:rPr>
              <w:t>I</w:t>
            </w:r>
            <w:r w:rsidRPr="004079D4">
              <w:rPr>
                <w:b/>
                <w:bCs/>
                <w:color w:val="000000"/>
                <w:sz w:val="22"/>
                <w:szCs w:val="22"/>
              </w:rPr>
              <w:t xml:space="preserve">mplementation </w:t>
            </w:r>
          </w:p>
        </w:tc>
      </w:tr>
      <w:tr w:rsidRPr="008E75B2" w:rsidR="00A91962" w:rsidTr="00277AEF" w14:paraId="3A0A3433" w14:textId="77777777">
        <w:tc>
          <w:tcPr>
            <w:tcW w:w="3539" w:type="dxa"/>
            <w:shd w:val="clear" w:color="auto" w:fill="auto"/>
          </w:tcPr>
          <w:p w:rsidR="00A91962" w:rsidP="00A91962" w:rsidRDefault="00A91962" w14:paraId="7C50D90B" w14:textId="72A58A06">
            <w:pPr>
              <w:jc w:val="left"/>
              <w:rPr>
                <w:rFonts w:ascii="Calibri" w:hAnsi="Calibri" w:cs="Calibri"/>
                <w:b/>
                <w:bCs/>
                <w:sz w:val="24"/>
              </w:rPr>
            </w:pPr>
            <w:r w:rsidRPr="00EA500B">
              <w:rPr>
                <w:rFonts w:ascii="Calibri" w:hAnsi="Calibri" w:cs="Calibri"/>
                <w:b/>
                <w:bCs/>
                <w:sz w:val="24"/>
              </w:rPr>
              <w:t>University Code of Practice</w:t>
            </w:r>
            <w:r>
              <w:rPr>
                <w:rFonts w:ascii="Calibri" w:hAnsi="Calibri" w:cs="Calibri"/>
                <w:b/>
                <w:bCs/>
                <w:sz w:val="24"/>
              </w:rPr>
              <w:t>: Curriculum Review</w:t>
            </w:r>
            <w:r w:rsidR="007C2C11">
              <w:t xml:space="preserve"> </w:t>
            </w:r>
            <w:r w:rsidRPr="007C2C11" w:rsidR="007C2C11">
              <w:rPr>
                <w:rFonts w:ascii="Calibri" w:hAnsi="Calibri" w:cs="Calibri"/>
                <w:b/>
                <w:bCs/>
                <w:sz w:val="24"/>
              </w:rPr>
              <w:t xml:space="preserve">and Development </w:t>
            </w:r>
            <w:r w:rsidRPr="007C2C11" w:rsidR="007C2C11">
              <w:rPr>
                <w:rFonts w:ascii="Calibri" w:hAnsi="Calibri" w:cs="Calibri"/>
                <w:sz w:val="24"/>
              </w:rPr>
              <w:t>(previously approved as ‘Deep Dives’)</w:t>
            </w:r>
          </w:p>
        </w:tc>
        <w:tc>
          <w:tcPr>
            <w:tcW w:w="7088" w:type="dxa"/>
            <w:shd w:val="clear" w:color="auto" w:fill="auto"/>
          </w:tcPr>
          <w:p w:rsidR="00A91962" w:rsidP="007C2C11" w:rsidRDefault="007C2C11" w14:paraId="4D22D149" w14:textId="77777777">
            <w:pPr>
              <w:spacing w:after="120"/>
              <w:jc w:val="left"/>
              <w:rPr>
                <w:rFonts w:ascii="Calibri" w:hAnsi="Calibri" w:cs="Calibri"/>
                <w:color w:val="000000"/>
                <w:sz w:val="24"/>
              </w:rPr>
            </w:pPr>
            <w:r>
              <w:rPr>
                <w:rFonts w:ascii="Calibri" w:hAnsi="Calibri" w:cs="Calibri"/>
                <w:color w:val="000000"/>
                <w:sz w:val="24"/>
              </w:rPr>
              <w:t>Amendments have been made to the Code of Practice since initial approval. These include:</w:t>
            </w:r>
          </w:p>
          <w:p w:rsidRPr="007C2C11" w:rsidR="007C2C11" w:rsidP="007C2C11" w:rsidRDefault="007C2C11" w14:paraId="014E741E" w14:textId="77777777">
            <w:pPr>
              <w:pStyle w:val="ListParagraph"/>
              <w:numPr>
                <w:ilvl w:val="0"/>
                <w:numId w:val="34"/>
              </w:numPr>
              <w:spacing w:after="120"/>
              <w:jc w:val="left"/>
              <w:rPr>
                <w:rFonts w:ascii="Calibri" w:hAnsi="Calibri" w:cs="Calibri"/>
                <w:color w:val="000000"/>
                <w:sz w:val="24"/>
              </w:rPr>
            </w:pPr>
            <w:r w:rsidRPr="007C2C11">
              <w:rPr>
                <w:rFonts w:ascii="Calibri" w:hAnsi="Calibri" w:cs="Calibri"/>
                <w:color w:val="000000"/>
                <w:sz w:val="24"/>
              </w:rPr>
              <w:t>Name change.</w:t>
            </w:r>
          </w:p>
          <w:p w:rsidRPr="007C2C11" w:rsidR="007C2C11" w:rsidP="007C2C11" w:rsidRDefault="007C2C11" w14:paraId="39C943DE" w14:textId="77777777">
            <w:pPr>
              <w:pStyle w:val="ListParagraph"/>
              <w:numPr>
                <w:ilvl w:val="0"/>
                <w:numId w:val="34"/>
              </w:numPr>
              <w:spacing w:after="120"/>
              <w:jc w:val="left"/>
              <w:rPr>
                <w:rFonts w:ascii="Calibri" w:hAnsi="Calibri" w:cs="Calibri"/>
                <w:color w:val="000000"/>
                <w:sz w:val="24"/>
              </w:rPr>
            </w:pPr>
            <w:r w:rsidRPr="007C2C11">
              <w:rPr>
                <w:rFonts w:ascii="Calibri" w:hAnsi="Calibri" w:cs="Calibri"/>
                <w:color w:val="000000"/>
                <w:sz w:val="24"/>
              </w:rPr>
              <w:t>A new 6-month review has been added for a programme that is considered at risk, this is to ensure that actions are in progress and progress is being made.</w:t>
            </w:r>
          </w:p>
          <w:p w:rsidRPr="00EF7316" w:rsidR="007C2C11" w:rsidP="00EF7316" w:rsidRDefault="007C2C11" w14:paraId="5FD94015" w14:textId="7130A0B2">
            <w:pPr>
              <w:pStyle w:val="ListParagraph"/>
              <w:numPr>
                <w:ilvl w:val="0"/>
                <w:numId w:val="34"/>
              </w:numPr>
              <w:spacing w:after="120"/>
              <w:jc w:val="left"/>
              <w:rPr>
                <w:rFonts w:ascii="Calibri" w:hAnsi="Calibri" w:cs="Calibri"/>
                <w:color w:val="000000"/>
                <w:sz w:val="24"/>
              </w:rPr>
            </w:pPr>
            <w:r w:rsidRPr="007C2C11">
              <w:rPr>
                <w:rFonts w:ascii="Calibri" w:hAnsi="Calibri" w:cs="Calibri"/>
                <w:color w:val="000000"/>
                <w:sz w:val="24"/>
              </w:rPr>
              <w:t>The language has been firmed up, to include must, should and may in line with other Codes of Practice.</w:t>
            </w:r>
          </w:p>
        </w:tc>
        <w:tc>
          <w:tcPr>
            <w:tcW w:w="3321" w:type="dxa"/>
          </w:tcPr>
          <w:p w:rsidRPr="00F90387" w:rsidR="007C2C11" w:rsidP="007C2C11" w:rsidRDefault="007C2C11" w14:paraId="5884285C" w14:textId="1A765283">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A91962" w:rsidP="007C2C11" w:rsidRDefault="007C2C11" w14:paraId="3916C82D" w14:textId="4101E15B">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1242C3">
              <w:rPr>
                <w:rFonts w:ascii="Calibri" w:hAnsi="Calibri" w:cs="Calibri"/>
                <w:color w:val="000000"/>
                <w:sz w:val="24"/>
              </w:rPr>
              <w:t>for information</w:t>
            </w:r>
          </w:p>
        </w:tc>
      </w:tr>
      <w:tr w:rsidRPr="008E75B2" w:rsidR="00A91962" w:rsidTr="00277AEF" w14:paraId="46B25466" w14:textId="77777777">
        <w:tc>
          <w:tcPr>
            <w:tcW w:w="3539" w:type="dxa"/>
            <w:shd w:val="clear" w:color="auto" w:fill="auto"/>
          </w:tcPr>
          <w:p w:rsidRPr="00EA500B" w:rsidR="00A91962" w:rsidP="00A91962" w:rsidRDefault="00A91962" w14:paraId="21EE7ADD" w14:textId="417A5003">
            <w:pPr>
              <w:jc w:val="left"/>
              <w:rPr>
                <w:rFonts w:ascii="Calibri" w:hAnsi="Calibri" w:cs="Calibri"/>
                <w:b/>
                <w:bCs/>
                <w:sz w:val="24"/>
              </w:rPr>
            </w:pPr>
            <w:r>
              <w:rPr>
                <w:rFonts w:ascii="Calibri" w:hAnsi="Calibri" w:cs="Calibri"/>
                <w:b/>
                <w:bCs/>
                <w:sz w:val="24"/>
              </w:rPr>
              <w:t>CMEE</w:t>
            </w:r>
          </w:p>
        </w:tc>
        <w:tc>
          <w:tcPr>
            <w:tcW w:w="7088" w:type="dxa"/>
            <w:shd w:val="clear" w:color="auto" w:fill="auto"/>
          </w:tcPr>
          <w:p w:rsidRPr="00EA500B" w:rsidR="00A91962" w:rsidP="00A91962" w:rsidRDefault="007C2C11" w14:paraId="54EC3EE2" w14:textId="0102D742">
            <w:pPr>
              <w:spacing w:after="120"/>
              <w:jc w:val="left"/>
              <w:rPr>
                <w:rFonts w:ascii="Calibri" w:hAnsi="Calibri" w:cs="Calibri"/>
                <w:sz w:val="24"/>
              </w:rPr>
            </w:pPr>
            <w:r w:rsidRPr="007C2C11">
              <w:rPr>
                <w:rFonts w:ascii="Calibri" w:hAnsi="Calibri" w:cs="Calibri"/>
                <w:sz w:val="24"/>
              </w:rPr>
              <w:t xml:space="preserve">A minor revision has been made to the CMEE programme level guidance. The wording in relation to surveys at programme level has </w:t>
            </w:r>
            <w:r w:rsidR="00EF7316">
              <w:rPr>
                <w:rFonts w:ascii="Calibri" w:hAnsi="Calibri" w:cs="Calibri"/>
                <w:sz w:val="24"/>
              </w:rPr>
              <w:t>b</w:t>
            </w:r>
            <w:r w:rsidRPr="007C2C11">
              <w:rPr>
                <w:rFonts w:ascii="Calibri" w:hAnsi="Calibri" w:cs="Calibri"/>
                <w:sz w:val="24"/>
              </w:rPr>
              <w:t>een revised. The data calendar has also been updated.</w:t>
            </w:r>
          </w:p>
        </w:tc>
        <w:tc>
          <w:tcPr>
            <w:tcW w:w="3321" w:type="dxa"/>
          </w:tcPr>
          <w:p w:rsidRPr="00F90387" w:rsidR="007C2C11" w:rsidP="007C2C11" w:rsidRDefault="007C2C11" w14:paraId="517538AF" w14:textId="064A711B">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A91962" w:rsidP="007C2C11" w:rsidRDefault="007C2C11" w14:paraId="063552B3" w14:textId="00A120E4">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1242C3">
              <w:rPr>
                <w:rFonts w:ascii="Calibri" w:hAnsi="Calibri" w:cs="Calibri"/>
                <w:color w:val="000000"/>
                <w:sz w:val="24"/>
              </w:rPr>
              <w:t>for information</w:t>
            </w:r>
          </w:p>
        </w:tc>
      </w:tr>
      <w:tr w:rsidRPr="008E75B2" w:rsidR="009522A4" w:rsidTr="00277AEF" w14:paraId="3EDBB764" w14:textId="77777777">
        <w:tc>
          <w:tcPr>
            <w:tcW w:w="3539" w:type="dxa"/>
            <w:shd w:val="clear" w:color="auto" w:fill="auto"/>
          </w:tcPr>
          <w:p w:rsidRPr="00EA500B" w:rsidR="009522A4" w:rsidP="00F53CFD" w:rsidRDefault="007C2C11" w14:paraId="5BC3086E" w14:textId="0C2AC4C6">
            <w:pPr>
              <w:jc w:val="left"/>
              <w:rPr>
                <w:rFonts w:ascii="Calibri" w:hAnsi="Calibri" w:cs="Calibri"/>
                <w:b/>
                <w:bCs/>
                <w:sz w:val="24"/>
              </w:rPr>
            </w:pPr>
            <w:r w:rsidRPr="007C2C11">
              <w:rPr>
                <w:rFonts w:ascii="Calibri" w:hAnsi="Calibri" w:cs="Calibri"/>
                <w:b/>
                <w:bCs/>
                <w:sz w:val="24"/>
              </w:rPr>
              <w:t>Programme Regulations: PhD by Thesis</w:t>
            </w:r>
          </w:p>
        </w:tc>
        <w:tc>
          <w:tcPr>
            <w:tcW w:w="7088" w:type="dxa"/>
            <w:shd w:val="clear" w:color="auto" w:fill="auto"/>
          </w:tcPr>
          <w:p w:rsidRPr="001242C3" w:rsidR="001242C3" w:rsidP="001242C3" w:rsidRDefault="001242C3" w14:paraId="57B3600B" w14:textId="77777777">
            <w:pPr>
              <w:spacing w:after="120"/>
              <w:jc w:val="left"/>
              <w:rPr>
                <w:rFonts w:ascii="Calibri" w:hAnsi="Calibri" w:cs="Calibri"/>
                <w:sz w:val="24"/>
              </w:rPr>
            </w:pPr>
            <w:r w:rsidRPr="001242C3">
              <w:rPr>
                <w:rFonts w:ascii="Calibri" w:hAnsi="Calibri" w:cs="Calibri"/>
                <w:sz w:val="24"/>
              </w:rPr>
              <w:t>Amendments have been made to the University Programme Regulations: PhD by Thesis. These changes have been approved by URC and Senate (March 2023). Changes include:</w:t>
            </w:r>
          </w:p>
          <w:p w:rsidR="001242C3" w:rsidP="001242C3" w:rsidRDefault="001242C3" w14:paraId="62C087C5"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t>3.1 d - Addition of 7-year maximum period for FT registration.</w:t>
            </w:r>
          </w:p>
          <w:p w:rsidR="001242C3" w:rsidP="001242C3" w:rsidRDefault="001242C3" w14:paraId="07120B36"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lastRenderedPageBreak/>
              <w:t xml:space="preserve">3.1 e - Addition of 10-year maximum period for PT registration. </w:t>
            </w:r>
          </w:p>
          <w:p w:rsidR="001242C3" w:rsidP="001242C3" w:rsidRDefault="001242C3" w14:paraId="13E6F179"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t>31 f - Inserts clause allowing termination of registration for exceeding maximum period.</w:t>
            </w:r>
          </w:p>
          <w:p w:rsidR="001242C3" w:rsidP="001242C3" w:rsidRDefault="001242C3" w14:paraId="308B41E4"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t>9.1 - reworded for clarity and removes reference to Masters degree.</w:t>
            </w:r>
          </w:p>
          <w:p w:rsidR="001242C3" w:rsidP="001242C3" w:rsidRDefault="001242C3" w14:paraId="3B99373E"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t xml:space="preserve">Insertion of new subtitle Exceptional Circumstances.  </w:t>
            </w:r>
          </w:p>
          <w:p w:rsidR="001242C3" w:rsidP="001242C3" w:rsidRDefault="001242C3" w14:paraId="41A3DA3A" w14:textId="77777777">
            <w:pPr>
              <w:pStyle w:val="ListParagraph"/>
              <w:numPr>
                <w:ilvl w:val="0"/>
                <w:numId w:val="35"/>
              </w:numPr>
              <w:spacing w:after="120"/>
              <w:jc w:val="left"/>
              <w:rPr>
                <w:rFonts w:ascii="Calibri" w:hAnsi="Calibri" w:cs="Calibri"/>
                <w:sz w:val="24"/>
              </w:rPr>
            </w:pPr>
            <w:r w:rsidRPr="001242C3">
              <w:rPr>
                <w:rFonts w:ascii="Calibri" w:hAnsi="Calibri" w:cs="Calibri"/>
                <w:sz w:val="24"/>
              </w:rPr>
              <w:t>12.1 - new clause specifying circumstances under which transferring of study permitted during research and writing up periods.</w:t>
            </w:r>
          </w:p>
          <w:p w:rsidRPr="001242C3" w:rsidR="009522A4" w:rsidP="001242C3" w:rsidRDefault="001242C3" w14:paraId="64275567" w14:textId="451F7E31">
            <w:pPr>
              <w:pStyle w:val="ListParagraph"/>
              <w:numPr>
                <w:ilvl w:val="0"/>
                <w:numId w:val="35"/>
              </w:numPr>
              <w:spacing w:after="120"/>
              <w:jc w:val="left"/>
              <w:rPr>
                <w:rFonts w:ascii="Calibri" w:hAnsi="Calibri" w:cs="Calibri"/>
                <w:sz w:val="24"/>
              </w:rPr>
            </w:pPr>
            <w:r w:rsidRPr="001242C3">
              <w:rPr>
                <w:rFonts w:ascii="Calibri" w:hAnsi="Calibri" w:cs="Calibri"/>
                <w:sz w:val="24"/>
              </w:rPr>
              <w:t>18 - Reworded to remove unnecessary breakdown of continuation fees.</w:t>
            </w:r>
            <w:r>
              <w:rPr>
                <w:rFonts w:ascii="Calibri" w:hAnsi="Calibri" w:cs="Calibri"/>
                <w:sz w:val="24"/>
              </w:rPr>
              <w:t xml:space="preserve"> </w:t>
            </w:r>
            <w:r w:rsidRPr="001242C3">
              <w:rPr>
                <w:rFonts w:ascii="Calibri" w:hAnsi="Calibri" w:cs="Calibri"/>
                <w:sz w:val="24"/>
              </w:rPr>
              <w:t>15.2, 15.3 and 15.5 amended to remove reference to submission of hard copies and to reflect current e-submission.</w:t>
            </w:r>
          </w:p>
        </w:tc>
        <w:tc>
          <w:tcPr>
            <w:tcW w:w="3321" w:type="dxa"/>
          </w:tcPr>
          <w:p w:rsidRPr="00F90387" w:rsidR="007C2C11" w:rsidP="007C2C11" w:rsidRDefault="007C2C11" w14:paraId="0CD20F90" w14:textId="327646D4">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immediate</w:t>
            </w:r>
          </w:p>
          <w:p w:rsidRPr="00F90387" w:rsidR="009522A4" w:rsidP="007C2C11" w:rsidRDefault="007C2C11" w14:paraId="54042A68" w14:textId="3E727862">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1242C3">
              <w:rPr>
                <w:rFonts w:ascii="Calibri" w:hAnsi="Calibri" w:cs="Calibri"/>
                <w:color w:val="000000"/>
                <w:sz w:val="24"/>
              </w:rPr>
              <w:t>for information</w:t>
            </w:r>
          </w:p>
        </w:tc>
      </w:tr>
      <w:tr w:rsidRPr="008E75B2" w:rsidR="00F14891" w:rsidTr="00277AEF" w14:paraId="6A7D32A9" w14:textId="77777777">
        <w:tc>
          <w:tcPr>
            <w:tcW w:w="3539" w:type="dxa"/>
            <w:shd w:val="clear" w:color="auto" w:fill="auto"/>
          </w:tcPr>
          <w:p w:rsidR="00F14891" w:rsidP="00F53CFD" w:rsidRDefault="00F14891" w14:paraId="33A5A980" w14:textId="77777777">
            <w:pPr>
              <w:jc w:val="left"/>
              <w:rPr>
                <w:rFonts w:ascii="Calibri" w:hAnsi="Calibri" w:cs="Calibri"/>
                <w:b/>
                <w:bCs/>
                <w:sz w:val="24"/>
              </w:rPr>
            </w:pPr>
            <w:r>
              <w:rPr>
                <w:rFonts w:ascii="Calibri" w:hAnsi="Calibri" w:cs="Calibri"/>
                <w:b/>
                <w:bCs/>
                <w:sz w:val="24"/>
              </w:rPr>
              <w:t>Collaborative Provision:</w:t>
            </w:r>
          </w:p>
          <w:p w:rsidRPr="007C2C11" w:rsidR="00F14891" w:rsidP="00F53CFD" w:rsidRDefault="00F14891" w14:paraId="018BCC03" w14:textId="5522D080">
            <w:pPr>
              <w:jc w:val="left"/>
              <w:rPr>
                <w:rFonts w:ascii="Calibri" w:hAnsi="Calibri" w:cs="Calibri"/>
                <w:b/>
                <w:bCs/>
                <w:sz w:val="24"/>
              </w:rPr>
            </w:pPr>
          </w:p>
        </w:tc>
        <w:tc>
          <w:tcPr>
            <w:tcW w:w="7088" w:type="dxa"/>
            <w:shd w:val="clear" w:color="auto" w:fill="auto"/>
          </w:tcPr>
          <w:p w:rsidR="00F14891" w:rsidP="001242C3" w:rsidRDefault="00F14891" w14:paraId="16831E4D" w14:textId="2C1C140A">
            <w:pPr>
              <w:spacing w:after="120"/>
              <w:jc w:val="left"/>
              <w:rPr>
                <w:rFonts w:ascii="Calibri" w:hAnsi="Calibri" w:cs="Calibri"/>
                <w:sz w:val="24"/>
              </w:rPr>
            </w:pPr>
            <w:r>
              <w:rPr>
                <w:rFonts w:ascii="Calibri" w:hAnsi="Calibri" w:cs="Calibri"/>
                <w:sz w:val="24"/>
              </w:rPr>
              <w:t>The following Codes of Practice are now live on the Quality and Standards website:</w:t>
            </w:r>
          </w:p>
          <w:p w:rsidR="00F14891" w:rsidP="00F14891" w:rsidRDefault="00F14891" w14:paraId="52172ECC" w14:textId="1BF46892">
            <w:pPr>
              <w:pStyle w:val="ListParagraph"/>
              <w:numPr>
                <w:ilvl w:val="0"/>
                <w:numId w:val="36"/>
              </w:numPr>
              <w:spacing w:after="120"/>
              <w:jc w:val="left"/>
              <w:rPr>
                <w:rFonts w:ascii="Calibri" w:hAnsi="Calibri" w:cs="Calibri"/>
                <w:sz w:val="24"/>
              </w:rPr>
            </w:pPr>
            <w:r>
              <w:rPr>
                <w:rFonts w:ascii="Calibri" w:hAnsi="Calibri" w:cs="Calibri"/>
                <w:sz w:val="24"/>
              </w:rPr>
              <w:t>Code of Pracitce: Approval of New Academi</w:t>
            </w:r>
            <w:r w:rsidR="00F57FB9">
              <w:rPr>
                <w:rFonts w:ascii="Calibri" w:hAnsi="Calibri" w:cs="Calibri"/>
                <w:sz w:val="24"/>
              </w:rPr>
              <w:t>c</w:t>
            </w:r>
            <w:r>
              <w:rPr>
                <w:rFonts w:ascii="Calibri" w:hAnsi="Calibri" w:cs="Calibri"/>
                <w:sz w:val="24"/>
              </w:rPr>
              <w:t xml:space="preserve"> Partnerships.</w:t>
            </w:r>
          </w:p>
          <w:p w:rsidR="00F14891" w:rsidP="00F14891" w:rsidRDefault="00F14891" w14:paraId="4EEB4A72" w14:textId="77777777">
            <w:pPr>
              <w:pStyle w:val="ListParagraph"/>
              <w:numPr>
                <w:ilvl w:val="0"/>
                <w:numId w:val="36"/>
              </w:numPr>
              <w:spacing w:after="120"/>
              <w:jc w:val="left"/>
              <w:rPr>
                <w:rFonts w:ascii="Calibri" w:hAnsi="Calibri" w:cs="Calibri"/>
                <w:sz w:val="24"/>
              </w:rPr>
            </w:pPr>
            <w:r>
              <w:rPr>
                <w:rFonts w:ascii="Calibri" w:hAnsi="Calibri" w:cs="Calibri"/>
                <w:sz w:val="24"/>
              </w:rPr>
              <w:t>Code of Practice: Review, Renewal and Termination of Partnerships.</w:t>
            </w:r>
          </w:p>
          <w:p w:rsidRPr="00F14891" w:rsidR="00F14891" w:rsidP="00F14891" w:rsidRDefault="00F14891" w14:paraId="6B1E3D8B" w14:textId="6E1871F8">
            <w:pPr>
              <w:pStyle w:val="ListParagraph"/>
              <w:numPr>
                <w:ilvl w:val="0"/>
                <w:numId w:val="36"/>
              </w:numPr>
              <w:spacing w:after="120"/>
              <w:jc w:val="left"/>
              <w:rPr>
                <w:rFonts w:ascii="Calibri" w:hAnsi="Calibri" w:cs="Calibri"/>
                <w:sz w:val="24"/>
              </w:rPr>
            </w:pPr>
            <w:r>
              <w:rPr>
                <w:rFonts w:ascii="Calibri" w:hAnsi="Calibri" w:cs="Calibri"/>
                <w:sz w:val="24"/>
              </w:rPr>
              <w:t>Partnership Activities – Definitions and Approval Routes.</w:t>
            </w:r>
          </w:p>
        </w:tc>
        <w:tc>
          <w:tcPr>
            <w:tcW w:w="3321" w:type="dxa"/>
          </w:tcPr>
          <w:p w:rsidRPr="00F90387" w:rsidR="00F14891" w:rsidP="00F14891" w:rsidRDefault="00F14891" w14:paraId="71983E7B"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F14891" w:rsidP="00F14891" w:rsidRDefault="00F14891" w14:paraId="022BEF05" w14:textId="7F36CF03">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tbl>
    <w:p w:rsidR="00277AEF" w:rsidP="00B16CE8" w:rsidRDefault="00277AEF" w14:paraId="2591E30D" w14:textId="77777777">
      <w:pPr>
        <w:pStyle w:val="Heading2"/>
        <w:rPr>
          <w:color w:val="0070C0"/>
          <w:sz w:val="24"/>
          <w:szCs w:val="24"/>
        </w:rPr>
      </w:pPr>
    </w:p>
    <w:p w:rsidR="00277AEF" w:rsidP="00B16CE8" w:rsidRDefault="00277AEF" w14:paraId="2EED6B07" w14:textId="77777777">
      <w:pPr>
        <w:pStyle w:val="Heading2"/>
        <w:rPr>
          <w:color w:val="0070C0"/>
          <w:sz w:val="24"/>
          <w:szCs w:val="24"/>
        </w:rPr>
      </w:pPr>
    </w:p>
    <w:p w:rsidRPr="007E1986" w:rsidR="00EE5E76" w:rsidP="00B16CE8" w:rsidRDefault="006A2B9D" w14:paraId="729C443B" w14:textId="68C028E3">
      <w:pPr>
        <w:pStyle w:val="Heading2"/>
        <w:rPr>
          <w:rStyle w:val="arial12"/>
          <w:b w:val="0"/>
          <w:color w:val="0070C0"/>
          <w:szCs w:val="24"/>
        </w:rPr>
      </w:pPr>
      <w:bookmarkStart w:name="_Toc137199607" w:id="11"/>
      <w:r w:rsidRPr="007E1986">
        <w:rPr>
          <w:color w:val="0070C0"/>
          <w:sz w:val="24"/>
          <w:szCs w:val="24"/>
        </w:rPr>
        <w:t>ONGOING DEVELOPMENTS TO THE QUALITY AND STANDARDS FRAMEWORK</w:t>
      </w:r>
      <w:bookmarkEnd w:id="11"/>
      <w:r w:rsidRPr="007E1986">
        <w:rPr>
          <w:rStyle w:val="arial12"/>
          <w:b w:val="0"/>
          <w:color w:val="0070C0"/>
          <w:szCs w:val="24"/>
        </w:rPr>
        <w:t xml:space="preserve"> </w:t>
      </w:r>
    </w:p>
    <w:p w:rsidRPr="00CA5485" w:rsidR="00CA5485" w:rsidP="00B16CE8" w:rsidRDefault="00CA5485" w14:paraId="24A3B216"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047"/>
        <w:gridCol w:w="5012"/>
        <w:gridCol w:w="2389"/>
        <w:gridCol w:w="3500"/>
      </w:tblGrid>
      <w:tr w:rsidRPr="004079D4" w:rsidR="008646E4" w:rsidTr="008646E4" w14:paraId="2971D90B" w14:textId="77777777">
        <w:tc>
          <w:tcPr>
            <w:tcW w:w="3047" w:type="dxa"/>
            <w:shd w:val="clear" w:color="auto" w:fill="D0CECE"/>
            <w:vAlign w:val="center"/>
          </w:tcPr>
          <w:p w:rsidRPr="004079D4" w:rsidR="008646E4" w:rsidP="00B16CE8" w:rsidRDefault="008646E4" w14:paraId="16701EA4" w14:textId="77777777">
            <w:pPr>
              <w:jc w:val="center"/>
              <w:rPr>
                <w:rFonts w:cs="Arial"/>
                <w:b/>
                <w:bCs/>
                <w:sz w:val="22"/>
                <w:szCs w:val="22"/>
              </w:rPr>
            </w:pPr>
            <w:r w:rsidRPr="004079D4">
              <w:rPr>
                <w:rFonts w:cs="Arial"/>
                <w:b/>
                <w:bCs/>
                <w:sz w:val="22"/>
                <w:szCs w:val="22"/>
              </w:rPr>
              <w:t>Quality Handbook</w:t>
            </w:r>
          </w:p>
        </w:tc>
        <w:tc>
          <w:tcPr>
            <w:tcW w:w="5012" w:type="dxa"/>
            <w:shd w:val="clear" w:color="auto" w:fill="D0CECE"/>
            <w:vAlign w:val="center"/>
          </w:tcPr>
          <w:p w:rsidRPr="004079D4" w:rsidR="008646E4" w:rsidP="00B16CE8" w:rsidRDefault="008646E4" w14:paraId="6654318C" w14:textId="77777777">
            <w:pPr>
              <w:jc w:val="center"/>
              <w:rPr>
                <w:rFonts w:cs="Arial"/>
                <w:b/>
                <w:bCs/>
                <w:sz w:val="22"/>
                <w:szCs w:val="22"/>
              </w:rPr>
            </w:pPr>
            <w:r w:rsidRPr="004079D4">
              <w:rPr>
                <w:rFonts w:cs="Arial"/>
                <w:b/>
                <w:bCs/>
                <w:sz w:val="22"/>
                <w:szCs w:val="22"/>
              </w:rPr>
              <w:t>Status</w:t>
            </w:r>
          </w:p>
        </w:tc>
        <w:tc>
          <w:tcPr>
            <w:tcW w:w="2389" w:type="dxa"/>
            <w:shd w:val="clear" w:color="auto" w:fill="D0CECE"/>
            <w:vAlign w:val="center"/>
          </w:tcPr>
          <w:p w:rsidRPr="004079D4" w:rsidR="008646E4" w:rsidP="00B16CE8" w:rsidRDefault="008646E4" w14:paraId="46FDBC00" w14:textId="77777777">
            <w:pPr>
              <w:jc w:val="center"/>
              <w:rPr>
                <w:b/>
                <w:bCs/>
                <w:color w:val="000000"/>
                <w:sz w:val="22"/>
                <w:szCs w:val="22"/>
              </w:rPr>
            </w:pPr>
            <w:r w:rsidRPr="004079D4">
              <w:rPr>
                <w:b/>
                <w:bCs/>
                <w:color w:val="000000"/>
                <w:sz w:val="22"/>
                <w:szCs w:val="22"/>
              </w:rPr>
              <w:t>Next stage</w:t>
            </w:r>
          </w:p>
        </w:tc>
        <w:tc>
          <w:tcPr>
            <w:tcW w:w="3500" w:type="dxa"/>
            <w:shd w:val="clear" w:color="auto" w:fill="D0CECE"/>
            <w:vAlign w:val="center"/>
          </w:tcPr>
          <w:p w:rsidRPr="004079D4" w:rsidR="008646E4" w:rsidP="00B16CE8" w:rsidRDefault="008646E4" w14:paraId="0F22144F" w14:textId="77777777">
            <w:pPr>
              <w:jc w:val="center"/>
              <w:rPr>
                <w:b/>
                <w:bCs/>
                <w:color w:val="000000"/>
                <w:sz w:val="22"/>
                <w:szCs w:val="22"/>
              </w:rPr>
            </w:pPr>
            <w:r w:rsidRPr="004079D4">
              <w:rPr>
                <w:b/>
                <w:bCs/>
                <w:color w:val="000000"/>
                <w:sz w:val="22"/>
                <w:szCs w:val="22"/>
              </w:rPr>
              <w:t>Intended final approval implementation date</w:t>
            </w:r>
          </w:p>
        </w:tc>
      </w:tr>
      <w:tr w:rsidRPr="008E75B2" w:rsidR="0002352F" w:rsidTr="008646E4" w14:paraId="460D22F8" w14:textId="77777777">
        <w:tc>
          <w:tcPr>
            <w:tcW w:w="3047" w:type="dxa"/>
            <w:shd w:val="clear" w:color="auto" w:fill="auto"/>
          </w:tcPr>
          <w:p w:rsidRPr="005721BD" w:rsidR="0002352F" w:rsidP="0002352F" w:rsidRDefault="0002352F" w14:paraId="0CFD6BF8" w14:textId="40A18068">
            <w:pPr>
              <w:jc w:val="left"/>
              <w:rPr>
                <w:rFonts w:ascii="Calibri" w:hAnsi="Calibri" w:cs="Calibri"/>
                <w:b/>
                <w:bCs/>
                <w:sz w:val="24"/>
              </w:rPr>
            </w:pPr>
            <w:r w:rsidRPr="005721BD">
              <w:rPr>
                <w:rFonts w:ascii="Calibri" w:hAnsi="Calibri" w:cs="Calibri"/>
                <w:b/>
                <w:bCs/>
                <w:sz w:val="24"/>
              </w:rPr>
              <w:t>University Code of Practice: Academic Appeals</w:t>
            </w:r>
          </w:p>
        </w:tc>
        <w:tc>
          <w:tcPr>
            <w:tcW w:w="5012" w:type="dxa"/>
            <w:shd w:val="clear" w:color="auto" w:fill="auto"/>
          </w:tcPr>
          <w:p w:rsidRPr="005721BD" w:rsidR="0002352F" w:rsidP="0002352F" w:rsidRDefault="0002352F" w14:paraId="7123BFB7" w14:textId="1E8BF64E">
            <w:pPr>
              <w:jc w:val="left"/>
              <w:rPr>
                <w:rFonts w:ascii="Calibri" w:hAnsi="Calibri" w:cs="Calibri"/>
                <w:sz w:val="24"/>
              </w:rPr>
            </w:pPr>
            <w:r w:rsidRPr="005721BD">
              <w:rPr>
                <w:rFonts w:ascii="Calibri" w:hAnsi="Calibri" w:cs="Calibri"/>
                <w:sz w:val="24"/>
              </w:rPr>
              <w:t>The PVC (Education) has established a working group to review the University Code of Practice for Academic Appeals</w:t>
            </w:r>
          </w:p>
        </w:tc>
        <w:tc>
          <w:tcPr>
            <w:tcW w:w="2389" w:type="dxa"/>
          </w:tcPr>
          <w:p w:rsidRPr="005721BD" w:rsidR="006E6F0C" w:rsidP="006E6F0C" w:rsidRDefault="005721BD" w14:paraId="35317624" w14:textId="2EDFF2F5">
            <w:pPr>
              <w:spacing w:after="120"/>
              <w:jc w:val="left"/>
              <w:rPr>
                <w:rFonts w:ascii="Calibri" w:hAnsi="Calibri" w:cs="Calibri"/>
                <w:color w:val="000000"/>
                <w:sz w:val="24"/>
              </w:rPr>
            </w:pPr>
            <w:r w:rsidRPr="005721BD">
              <w:rPr>
                <w:rFonts w:ascii="Calibri" w:hAnsi="Calibri" w:cs="Calibri"/>
                <w:color w:val="000000"/>
                <w:sz w:val="24"/>
              </w:rPr>
              <w:t>Publication Stage.</w:t>
            </w:r>
          </w:p>
          <w:p w:rsidRPr="005721BD" w:rsidR="0002352F" w:rsidP="006E6F0C" w:rsidRDefault="005721BD" w14:paraId="037EB949" w14:textId="195D4F3E">
            <w:pPr>
              <w:spacing w:after="120"/>
              <w:jc w:val="left"/>
              <w:rPr>
                <w:rFonts w:ascii="Calibri" w:hAnsi="Calibri" w:cs="Calibri"/>
                <w:color w:val="000000"/>
                <w:sz w:val="24"/>
              </w:rPr>
            </w:pPr>
            <w:r w:rsidRPr="005721BD">
              <w:rPr>
                <w:rFonts w:ascii="Calibri" w:hAnsi="Calibri" w:cs="Calibri"/>
                <w:color w:val="000000"/>
                <w:sz w:val="24"/>
              </w:rPr>
              <w:t>Approved at</w:t>
            </w:r>
            <w:r w:rsidRPr="005721BD" w:rsidR="00FD780A">
              <w:rPr>
                <w:rFonts w:ascii="Calibri" w:hAnsi="Calibri" w:cs="Calibri"/>
                <w:color w:val="000000"/>
                <w:sz w:val="24"/>
              </w:rPr>
              <w:t xml:space="preserve"> Education Committee (May 2023)</w:t>
            </w:r>
            <w:r>
              <w:rPr>
                <w:rFonts w:ascii="Calibri" w:hAnsi="Calibri" w:cs="Calibri"/>
                <w:color w:val="000000"/>
                <w:sz w:val="24"/>
              </w:rPr>
              <w:t>.</w:t>
            </w:r>
          </w:p>
        </w:tc>
        <w:tc>
          <w:tcPr>
            <w:tcW w:w="3500" w:type="dxa"/>
          </w:tcPr>
          <w:p w:rsidRPr="005721BD" w:rsidR="0002352F" w:rsidP="0002352F" w:rsidRDefault="0002352F" w14:paraId="10838E4A" w14:textId="2C22C90D">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2023</w:t>
            </w:r>
          </w:p>
          <w:p w:rsidRPr="005721BD" w:rsidR="0002352F" w:rsidP="0002352F" w:rsidRDefault="0002352F" w14:paraId="2F96C4EA" w14:textId="6368F549">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6460E5" w:rsidTr="008646E4" w14:paraId="2C83A256" w14:textId="77777777">
        <w:tc>
          <w:tcPr>
            <w:tcW w:w="3047" w:type="dxa"/>
            <w:shd w:val="clear" w:color="auto" w:fill="auto"/>
          </w:tcPr>
          <w:p w:rsidRPr="005721BD" w:rsidR="006460E5" w:rsidP="006460E5" w:rsidRDefault="006460E5" w14:paraId="44535F41" w14:textId="5477D42F">
            <w:pPr>
              <w:jc w:val="left"/>
              <w:rPr>
                <w:rFonts w:ascii="Calibri" w:hAnsi="Calibri" w:cs="Calibri"/>
                <w:b/>
                <w:bCs/>
                <w:sz w:val="24"/>
              </w:rPr>
            </w:pPr>
            <w:r w:rsidRPr="005721BD">
              <w:rPr>
                <w:rFonts w:ascii="Calibri" w:hAnsi="Calibri" w:cs="Calibri"/>
                <w:b/>
                <w:bCs/>
                <w:sz w:val="24"/>
              </w:rPr>
              <w:lastRenderedPageBreak/>
              <w:t>University Code of Practice: External Examining</w:t>
            </w:r>
          </w:p>
        </w:tc>
        <w:tc>
          <w:tcPr>
            <w:tcW w:w="5012" w:type="dxa"/>
            <w:shd w:val="clear" w:color="auto" w:fill="auto"/>
          </w:tcPr>
          <w:p w:rsidRPr="005721BD" w:rsidR="006460E5" w:rsidP="006460E5" w:rsidRDefault="006460E5" w14:paraId="4D7A2731" w14:textId="3D8E8D6C">
            <w:pPr>
              <w:jc w:val="left"/>
              <w:rPr>
                <w:rFonts w:ascii="Calibri" w:hAnsi="Calibri" w:cs="Calibri"/>
                <w:sz w:val="24"/>
              </w:rPr>
            </w:pPr>
            <w:r w:rsidRPr="005721BD">
              <w:rPr>
                <w:rFonts w:ascii="Calibri" w:hAnsi="Calibri" w:cs="Calibri"/>
                <w:sz w:val="24"/>
              </w:rPr>
              <w:t>The PVC (Education) has established a working group to review the University Code of Practice for External Examining.</w:t>
            </w:r>
          </w:p>
        </w:tc>
        <w:tc>
          <w:tcPr>
            <w:tcW w:w="2389" w:type="dxa"/>
          </w:tcPr>
          <w:p w:rsidRPr="005721BD" w:rsidR="006460E5" w:rsidP="006460E5" w:rsidRDefault="005721BD" w14:paraId="0308D81A" w14:textId="6BA9860F">
            <w:pPr>
              <w:spacing w:after="120"/>
              <w:jc w:val="left"/>
              <w:rPr>
                <w:rFonts w:ascii="Calibri" w:hAnsi="Calibri" w:cs="Calibri"/>
                <w:color w:val="000000"/>
                <w:sz w:val="24"/>
              </w:rPr>
            </w:pPr>
            <w:r w:rsidRPr="005721BD">
              <w:rPr>
                <w:rFonts w:ascii="Calibri" w:hAnsi="Calibri" w:cs="Calibri"/>
                <w:color w:val="000000"/>
                <w:sz w:val="24"/>
              </w:rPr>
              <w:t>Approval Stage.</w:t>
            </w:r>
          </w:p>
          <w:p w:rsidRPr="005721BD" w:rsidR="006460E5" w:rsidP="006460E5" w:rsidRDefault="005721BD" w14:paraId="623E4FD3" w14:textId="62020600">
            <w:pPr>
              <w:spacing w:after="120"/>
              <w:jc w:val="left"/>
              <w:rPr>
                <w:rFonts w:ascii="Calibri" w:hAnsi="Calibri" w:cs="Calibri"/>
                <w:color w:val="000000"/>
                <w:sz w:val="24"/>
              </w:rPr>
            </w:pPr>
            <w:r w:rsidRPr="005721BD">
              <w:rPr>
                <w:rFonts w:ascii="Calibri" w:hAnsi="Calibri" w:cs="Calibri"/>
                <w:color w:val="000000"/>
                <w:sz w:val="24"/>
              </w:rPr>
              <w:t xml:space="preserve">Approved at Education Committee (May 2023) with </w:t>
            </w:r>
            <w:r>
              <w:rPr>
                <w:rFonts w:ascii="Calibri" w:hAnsi="Calibri" w:cs="Calibri"/>
                <w:color w:val="000000"/>
                <w:sz w:val="24"/>
              </w:rPr>
              <w:t xml:space="preserve">minor </w:t>
            </w:r>
            <w:r w:rsidRPr="005721BD">
              <w:rPr>
                <w:rFonts w:ascii="Calibri" w:hAnsi="Calibri" w:cs="Calibri"/>
                <w:color w:val="000000"/>
                <w:sz w:val="24"/>
              </w:rPr>
              <w:t>revisions.</w:t>
            </w:r>
          </w:p>
        </w:tc>
        <w:tc>
          <w:tcPr>
            <w:tcW w:w="3500" w:type="dxa"/>
          </w:tcPr>
          <w:p w:rsidRPr="005721BD" w:rsidR="006460E5" w:rsidP="006460E5" w:rsidRDefault="006460E5" w14:paraId="753FE14A" w14:textId="6D136F61">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2023</w:t>
            </w:r>
          </w:p>
          <w:p w:rsidRPr="005721BD" w:rsidR="006460E5" w:rsidP="006460E5" w:rsidRDefault="006460E5" w14:paraId="0B89475E" w14:textId="219EC7F0">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6460E5" w:rsidTr="008646E4" w14:paraId="0393BC58" w14:textId="77777777">
        <w:tc>
          <w:tcPr>
            <w:tcW w:w="3047" w:type="dxa"/>
            <w:shd w:val="clear" w:color="auto" w:fill="auto"/>
          </w:tcPr>
          <w:p w:rsidRPr="005721BD" w:rsidR="006460E5" w:rsidP="006460E5" w:rsidRDefault="006460E5" w14:paraId="5A8364FA" w14:textId="3CED59AF">
            <w:pPr>
              <w:jc w:val="left"/>
              <w:rPr>
                <w:rFonts w:ascii="Calibri" w:hAnsi="Calibri" w:cs="Calibri"/>
                <w:b/>
                <w:bCs/>
                <w:sz w:val="24"/>
              </w:rPr>
            </w:pPr>
            <w:r w:rsidRPr="005721BD">
              <w:rPr>
                <w:rFonts w:ascii="Calibri" w:hAnsi="Calibri" w:cs="Calibri"/>
                <w:b/>
                <w:bCs/>
                <w:sz w:val="24"/>
              </w:rPr>
              <w:t>University Code of Practice:</w:t>
            </w:r>
            <w:r w:rsidRPr="005721BD" w:rsidR="00D7304F">
              <w:t xml:space="preserve"> </w:t>
            </w:r>
            <w:r w:rsidRPr="005721BD" w:rsidR="00D7304F">
              <w:rPr>
                <w:rFonts w:ascii="Calibri" w:hAnsi="Calibri" w:cs="Calibri"/>
                <w:b/>
                <w:bCs/>
                <w:sz w:val="24"/>
              </w:rPr>
              <w:t>Annual Monitoring, Review and Enhancement of Programmes</w:t>
            </w:r>
            <w:r w:rsidRPr="005721BD">
              <w:t xml:space="preserve"> </w:t>
            </w:r>
            <w:r w:rsidRPr="005721BD" w:rsidR="00D7304F">
              <w:rPr>
                <w:rFonts w:ascii="Calibri" w:hAnsi="Calibri" w:cs="Calibri"/>
                <w:b/>
                <w:bCs/>
                <w:sz w:val="24"/>
              </w:rPr>
              <w:t>(</w:t>
            </w:r>
            <w:r w:rsidRPr="005721BD">
              <w:rPr>
                <w:rFonts w:ascii="Calibri" w:hAnsi="Calibri" w:cs="Calibri"/>
                <w:b/>
                <w:bCs/>
                <w:sz w:val="24"/>
              </w:rPr>
              <w:t>AMREP</w:t>
            </w:r>
            <w:r w:rsidRPr="005721BD" w:rsidR="00D7304F">
              <w:rPr>
                <w:rFonts w:ascii="Calibri" w:hAnsi="Calibri" w:cs="Calibri"/>
                <w:b/>
                <w:bCs/>
                <w:sz w:val="24"/>
              </w:rPr>
              <w:t>) for Collaborative Provision</w:t>
            </w:r>
          </w:p>
        </w:tc>
        <w:tc>
          <w:tcPr>
            <w:tcW w:w="5012" w:type="dxa"/>
            <w:shd w:val="clear" w:color="auto" w:fill="auto"/>
          </w:tcPr>
          <w:p w:rsidRPr="005721BD" w:rsidR="006460E5" w:rsidP="006460E5" w:rsidRDefault="00D7304F" w14:paraId="7DC5BCEF" w14:textId="428A7B30">
            <w:pPr>
              <w:jc w:val="left"/>
              <w:rPr>
                <w:rFonts w:ascii="Calibri" w:hAnsi="Calibri" w:cs="Calibri"/>
                <w:sz w:val="24"/>
              </w:rPr>
            </w:pPr>
            <w:r w:rsidRPr="005721BD">
              <w:rPr>
                <w:rFonts w:ascii="Calibri" w:hAnsi="Calibri" w:cs="Calibri"/>
                <w:sz w:val="24"/>
              </w:rPr>
              <w:t>The PVC (Education) has established a working group to review the University Code of Practice for Annual Monitoring, Review and Enhancement of Programmes (AMREP)</w:t>
            </w:r>
            <w:r w:rsidRPr="005721BD">
              <w:t xml:space="preserve"> </w:t>
            </w:r>
            <w:r w:rsidRPr="005721BD">
              <w:rPr>
                <w:rFonts w:ascii="Calibri" w:hAnsi="Calibri" w:cs="Calibri"/>
                <w:sz w:val="24"/>
              </w:rPr>
              <w:t>for Collaborative Provision.</w:t>
            </w:r>
          </w:p>
        </w:tc>
        <w:tc>
          <w:tcPr>
            <w:tcW w:w="2389" w:type="dxa"/>
          </w:tcPr>
          <w:p w:rsidRPr="005721BD" w:rsidR="005721BD" w:rsidP="005721BD" w:rsidRDefault="005721BD" w14:paraId="3AEC6A76" w14:textId="77777777">
            <w:pPr>
              <w:spacing w:after="120"/>
              <w:jc w:val="left"/>
              <w:rPr>
                <w:rFonts w:ascii="Calibri" w:hAnsi="Calibri" w:cs="Calibri"/>
                <w:color w:val="000000"/>
                <w:sz w:val="24"/>
              </w:rPr>
            </w:pPr>
            <w:r w:rsidRPr="005721BD">
              <w:rPr>
                <w:rFonts w:ascii="Calibri" w:hAnsi="Calibri" w:cs="Calibri"/>
                <w:color w:val="000000"/>
                <w:sz w:val="24"/>
              </w:rPr>
              <w:t>Publication Stage.</w:t>
            </w:r>
          </w:p>
          <w:p w:rsidRPr="005721BD" w:rsidR="006460E5" w:rsidP="005721BD" w:rsidRDefault="005721BD" w14:paraId="25EE0F2B" w14:textId="2DED7BE4">
            <w:pPr>
              <w:spacing w:after="120"/>
              <w:jc w:val="left"/>
              <w:rPr>
                <w:rFonts w:ascii="Calibri" w:hAnsi="Calibri" w:cs="Calibri"/>
                <w:color w:val="000000"/>
                <w:sz w:val="24"/>
              </w:rPr>
            </w:pPr>
            <w:r w:rsidRPr="005721BD">
              <w:rPr>
                <w:rFonts w:ascii="Calibri" w:hAnsi="Calibri" w:cs="Calibri"/>
                <w:color w:val="000000"/>
                <w:sz w:val="24"/>
              </w:rPr>
              <w:t>Approved at Education Committee (May 2023)</w:t>
            </w:r>
            <w:r>
              <w:rPr>
                <w:rFonts w:ascii="Calibri" w:hAnsi="Calibri" w:cs="Calibri"/>
                <w:color w:val="000000"/>
                <w:sz w:val="24"/>
              </w:rPr>
              <w:t>.</w:t>
            </w:r>
          </w:p>
        </w:tc>
        <w:tc>
          <w:tcPr>
            <w:tcW w:w="3500" w:type="dxa"/>
          </w:tcPr>
          <w:p w:rsidRPr="005721BD" w:rsidR="006460E5" w:rsidP="006460E5" w:rsidRDefault="006460E5" w14:paraId="6FBE9779" w14:textId="5CC36BE3">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2023</w:t>
            </w:r>
          </w:p>
          <w:p w:rsidRPr="005721BD" w:rsidR="006460E5" w:rsidP="006460E5" w:rsidRDefault="006460E5" w14:paraId="7DC5F464" w14:textId="77777777">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p w:rsidRPr="005721BD" w:rsidR="006460E5" w:rsidP="006460E5" w:rsidRDefault="006460E5" w14:paraId="38C89F4A" w14:textId="77777777">
            <w:pPr>
              <w:spacing w:before="120" w:after="120"/>
              <w:jc w:val="left"/>
              <w:rPr>
                <w:rFonts w:ascii="Calibri" w:hAnsi="Calibri" w:cs="Calibri"/>
                <w:color w:val="000000"/>
                <w:sz w:val="24"/>
              </w:rPr>
            </w:pPr>
          </w:p>
        </w:tc>
      </w:tr>
      <w:tr w:rsidRPr="008E75B2" w:rsidR="006460E5" w:rsidTr="008646E4" w14:paraId="5EB3665E" w14:textId="77777777">
        <w:tc>
          <w:tcPr>
            <w:tcW w:w="3047" w:type="dxa"/>
            <w:shd w:val="clear" w:color="auto" w:fill="auto"/>
          </w:tcPr>
          <w:p w:rsidRPr="005721BD" w:rsidR="006460E5" w:rsidP="006460E5" w:rsidRDefault="006460E5" w14:paraId="7E407672" w14:textId="0416C2F8">
            <w:pPr>
              <w:jc w:val="left"/>
              <w:rPr>
                <w:rFonts w:ascii="Calibri" w:hAnsi="Calibri" w:cs="Calibri"/>
                <w:b/>
                <w:bCs/>
                <w:sz w:val="24"/>
              </w:rPr>
            </w:pPr>
            <w:r w:rsidRPr="005721BD">
              <w:rPr>
                <w:rFonts w:ascii="Calibri" w:hAnsi="Calibri" w:cs="Calibri"/>
                <w:b/>
                <w:bCs/>
                <w:sz w:val="24"/>
              </w:rPr>
              <w:t>University Code of Practice:</w:t>
            </w:r>
            <w:r w:rsidRPr="005721BD">
              <w:t xml:space="preserve"> </w:t>
            </w:r>
            <w:r w:rsidRPr="005721BD">
              <w:rPr>
                <w:rFonts w:ascii="Calibri" w:hAnsi="Calibri" w:cs="Calibri"/>
                <w:b/>
                <w:bCs/>
                <w:sz w:val="24"/>
              </w:rPr>
              <w:t>Approval of Collaborative Provision Publicity and Marketing Material.</w:t>
            </w:r>
          </w:p>
        </w:tc>
        <w:tc>
          <w:tcPr>
            <w:tcW w:w="5012" w:type="dxa"/>
            <w:shd w:val="clear" w:color="auto" w:fill="auto"/>
          </w:tcPr>
          <w:p w:rsidRPr="005721BD" w:rsidR="006460E5" w:rsidP="006460E5" w:rsidRDefault="006460E5" w14:paraId="0A0CEB01" w14:textId="72E36E3A">
            <w:pPr>
              <w:jc w:val="left"/>
              <w:rPr>
                <w:rFonts w:ascii="Calibri" w:hAnsi="Calibri" w:cs="Calibri"/>
                <w:sz w:val="24"/>
              </w:rPr>
            </w:pPr>
            <w:r w:rsidRPr="005721BD">
              <w:rPr>
                <w:rFonts w:ascii="Calibri" w:hAnsi="Calibri" w:cs="Calibri"/>
                <w:sz w:val="24"/>
              </w:rPr>
              <w:t>The PVC (Education) has established a working group to review the University Code of Practice for the Approval of Collaborative Provision Publicity and Marketing Material.</w:t>
            </w:r>
          </w:p>
        </w:tc>
        <w:tc>
          <w:tcPr>
            <w:tcW w:w="2389" w:type="dxa"/>
          </w:tcPr>
          <w:p w:rsidRPr="005721BD" w:rsidR="005721BD" w:rsidP="005721BD" w:rsidRDefault="005721BD" w14:paraId="2B17AC09" w14:textId="77777777">
            <w:pPr>
              <w:spacing w:after="120"/>
              <w:jc w:val="left"/>
              <w:rPr>
                <w:rFonts w:ascii="Calibri" w:hAnsi="Calibri" w:cs="Calibri"/>
                <w:color w:val="000000"/>
                <w:sz w:val="24"/>
              </w:rPr>
            </w:pPr>
            <w:r w:rsidRPr="005721BD">
              <w:rPr>
                <w:rFonts w:ascii="Calibri" w:hAnsi="Calibri" w:cs="Calibri"/>
                <w:color w:val="000000"/>
                <w:sz w:val="24"/>
              </w:rPr>
              <w:t>Publication Stage.</w:t>
            </w:r>
          </w:p>
          <w:p w:rsidRPr="005721BD" w:rsidR="006460E5" w:rsidP="005721BD" w:rsidRDefault="005721BD" w14:paraId="2CA034F2" w14:textId="0AB69420">
            <w:pPr>
              <w:spacing w:after="120"/>
              <w:jc w:val="left"/>
              <w:rPr>
                <w:rFonts w:ascii="Calibri" w:hAnsi="Calibri" w:cs="Calibri"/>
                <w:color w:val="000000"/>
                <w:sz w:val="24"/>
              </w:rPr>
            </w:pPr>
            <w:r w:rsidRPr="005721BD">
              <w:rPr>
                <w:rFonts w:ascii="Calibri" w:hAnsi="Calibri" w:cs="Calibri"/>
                <w:color w:val="000000"/>
                <w:sz w:val="24"/>
              </w:rPr>
              <w:t>Approved at Education Committee (May 2023)</w:t>
            </w:r>
            <w:r>
              <w:rPr>
                <w:rFonts w:ascii="Calibri" w:hAnsi="Calibri" w:cs="Calibri"/>
                <w:color w:val="000000"/>
                <w:sz w:val="24"/>
              </w:rPr>
              <w:t>.</w:t>
            </w:r>
          </w:p>
        </w:tc>
        <w:tc>
          <w:tcPr>
            <w:tcW w:w="3500" w:type="dxa"/>
          </w:tcPr>
          <w:p w:rsidRPr="005721BD" w:rsidR="006460E5" w:rsidP="006460E5" w:rsidRDefault="006460E5" w14:paraId="3D87ECAF" w14:textId="14CB48C8">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2023</w:t>
            </w:r>
          </w:p>
          <w:p w:rsidRPr="005721BD" w:rsidR="006460E5" w:rsidP="006460E5" w:rsidRDefault="006460E5" w14:paraId="191BE881" w14:textId="7EB980CF">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bl>
    <w:p w:rsidRPr="00F5398F" w:rsidR="00873BD5" w:rsidP="00675737" w:rsidRDefault="00675737" w14:paraId="70E6AC97" w14:textId="309CF4FB">
      <w:pPr>
        <w:pStyle w:val="Heading2"/>
        <w:rPr>
          <w:color w:val="2E74B5" w:themeColor="accent1" w:themeShade="BF"/>
        </w:rPr>
      </w:pPr>
      <w:bookmarkStart w:name="_Toc137199608" w:id="12"/>
      <w:bookmarkEnd w:id="4"/>
      <w:r w:rsidRPr="00F5398F">
        <w:rPr>
          <w:color w:val="2E74B5" w:themeColor="accent1" w:themeShade="BF"/>
        </w:rPr>
        <w:lastRenderedPageBreak/>
        <w:t>PROGRAMME HANDBOOKS</w:t>
      </w:r>
      <w:bookmarkEnd w:id="12"/>
    </w:p>
    <w:p w:rsidR="00675737" w:rsidP="00675737" w:rsidRDefault="00675737" w14:paraId="34C5B0C4" w14:textId="6F900721">
      <w:pPr>
        <w:pStyle w:val="Heading4"/>
        <w:numPr>
          <w:ilvl w:val="0"/>
          <w:numId w:val="0"/>
        </w:numPr>
        <w:rPr>
          <w:rFonts w:asciiTheme="minorHAnsi" w:hAnsiTheme="minorHAnsi" w:cstheme="minorHAnsi"/>
          <w:sz w:val="24"/>
          <w:szCs w:val="24"/>
        </w:rPr>
      </w:pPr>
      <w:r w:rsidRPr="00F5398F">
        <w:rPr>
          <w:rFonts w:asciiTheme="minorHAnsi" w:hAnsiTheme="minorHAnsi" w:cstheme="minorHAnsi"/>
          <w:sz w:val="24"/>
          <w:szCs w:val="24"/>
        </w:rPr>
        <w:t xml:space="preserve">All previous student programme handbook information will now be accessed via </w:t>
      </w:r>
      <w:proofErr w:type="spellStart"/>
      <w:r w:rsidRPr="00F5398F">
        <w:rPr>
          <w:rFonts w:asciiTheme="minorHAnsi" w:hAnsiTheme="minorHAnsi" w:cstheme="minorHAnsi"/>
          <w:sz w:val="24"/>
          <w:szCs w:val="24"/>
        </w:rPr>
        <w:t>MyJourney</w:t>
      </w:r>
      <w:proofErr w:type="spellEnd"/>
      <w:r w:rsidRPr="00F5398F">
        <w:rPr>
          <w:rFonts w:asciiTheme="minorHAnsi" w:hAnsiTheme="minorHAnsi" w:cstheme="minorHAnsi"/>
          <w:sz w:val="24"/>
          <w:szCs w:val="24"/>
        </w:rPr>
        <w:t>. Th</w:t>
      </w:r>
      <w:r w:rsidRPr="00F5398F" w:rsidR="00F5398F">
        <w:rPr>
          <w:rFonts w:asciiTheme="minorHAnsi" w:hAnsiTheme="minorHAnsi" w:cstheme="minorHAnsi"/>
          <w:sz w:val="24"/>
          <w:szCs w:val="24"/>
        </w:rPr>
        <w:t xml:space="preserve">is will replace individual </w:t>
      </w:r>
      <w:r w:rsidRPr="00F5398F">
        <w:rPr>
          <w:rFonts w:asciiTheme="minorHAnsi" w:hAnsiTheme="minorHAnsi" w:cstheme="minorHAnsi"/>
          <w:sz w:val="24"/>
          <w:szCs w:val="24"/>
        </w:rPr>
        <w:t>programme handbook templates (on-campus provision only).</w:t>
      </w:r>
    </w:p>
    <w:p w:rsidRPr="00675737" w:rsidR="00221B0E" w:rsidP="00675737" w:rsidRDefault="00221B0E" w14:paraId="6A03E27F" w14:textId="5104228D">
      <w:pPr>
        <w:pStyle w:val="Heading4"/>
        <w:numPr>
          <w:ilvl w:val="0"/>
          <w:numId w:val="0"/>
        </w:numPr>
        <w:rPr>
          <w:rFonts w:asciiTheme="minorHAnsi" w:hAnsiTheme="minorHAnsi" w:cstheme="minorHAnsi"/>
          <w:sz w:val="24"/>
          <w:szCs w:val="24"/>
        </w:rPr>
      </w:pPr>
      <w:r>
        <w:rPr>
          <w:rFonts w:asciiTheme="minorHAnsi" w:hAnsiTheme="minorHAnsi" w:cstheme="minorHAnsi"/>
          <w:sz w:val="24"/>
          <w:szCs w:val="24"/>
        </w:rPr>
        <w:t>Collaborative provision handbook templates are now available.</w:t>
      </w:r>
    </w:p>
    <w:p w:rsidRPr="007E1986" w:rsidR="00FF37D5" w:rsidP="007E1986" w:rsidRDefault="001D2F9A" w14:paraId="0361BB1D" w14:textId="14D464EB">
      <w:pPr>
        <w:pStyle w:val="Heading2"/>
        <w:rPr>
          <w:color w:val="0070C0"/>
        </w:rPr>
      </w:pPr>
      <w:bookmarkStart w:name="_Toc137199609" w:id="13"/>
      <w:r w:rsidRPr="007E1986">
        <w:rPr>
          <w:color w:val="0070C0"/>
        </w:rPr>
        <w:t>QAA</w:t>
      </w:r>
      <w:bookmarkEnd w:id="13"/>
    </w:p>
    <w:p w:rsidR="000E4C77" w:rsidP="009F49ED" w:rsidRDefault="000E4C77" w14:paraId="36A6EF22" w14:textId="551E722E">
      <w:pPr>
        <w:pStyle w:val="Heading4"/>
        <w:numPr>
          <w:ilvl w:val="0"/>
          <w:numId w:val="0"/>
        </w:numPr>
        <w:spacing w:after="120"/>
        <w:rPr>
          <w:rFonts w:ascii="Calibri" w:hAnsi="Calibri" w:cs="Calibri"/>
          <w:sz w:val="24"/>
          <w:szCs w:val="24"/>
        </w:rPr>
      </w:pPr>
      <w:r w:rsidRPr="003F7B85">
        <w:rPr>
          <w:rFonts w:ascii="Calibri" w:hAnsi="Calibri" w:cs="Calibri"/>
          <w:sz w:val="24"/>
          <w:szCs w:val="24"/>
        </w:rPr>
        <w:t>Latest news from QAA:</w:t>
      </w:r>
    </w:p>
    <w:p w:rsidRPr="00830BC7" w:rsidR="00830BC7" w:rsidP="00CD26CD" w:rsidRDefault="00F5398F" w14:paraId="2A3F612F" w14:textId="7B044EB4">
      <w:pPr>
        <w:pStyle w:val="Heading4"/>
        <w:numPr>
          <w:ilvl w:val="0"/>
          <w:numId w:val="28"/>
        </w:numPr>
        <w:spacing w:after="120"/>
        <w:rPr>
          <w:rFonts w:ascii="Calibri" w:hAnsi="Calibri" w:cs="Calibri"/>
          <w:sz w:val="24"/>
          <w:szCs w:val="24"/>
        </w:rPr>
      </w:pPr>
      <w:hyperlink w:history="1" r:id="rId9">
        <w:r w:rsidRPr="00830BC7" w:rsidR="00830BC7">
          <w:rPr>
            <w:rStyle w:val="Hyperlink"/>
            <w:rFonts w:ascii="Calibri" w:hAnsi="Calibri" w:cs="Calibri"/>
            <w:sz w:val="24"/>
            <w:szCs w:val="24"/>
          </w:rPr>
          <w:t>New toolkit supporting social enterprise and entrepreneurial skills in tertiary education</w:t>
        </w:r>
      </w:hyperlink>
      <w:r w:rsidR="00830BC7">
        <w:rPr>
          <w:rFonts w:ascii="Calibri" w:hAnsi="Calibri" w:cs="Calibri"/>
          <w:sz w:val="24"/>
          <w:szCs w:val="24"/>
        </w:rPr>
        <w:t>.</w:t>
      </w:r>
    </w:p>
    <w:p w:rsidRPr="00830BC7" w:rsidR="00830BC7" w:rsidP="00CD26CD" w:rsidRDefault="00F5398F" w14:paraId="3641B2BC" w14:textId="5909B3B5">
      <w:pPr>
        <w:pStyle w:val="Heading4"/>
        <w:numPr>
          <w:ilvl w:val="0"/>
          <w:numId w:val="28"/>
        </w:numPr>
        <w:spacing w:after="120"/>
        <w:rPr>
          <w:rFonts w:ascii="Calibri" w:hAnsi="Calibri" w:cs="Calibri"/>
          <w:sz w:val="24"/>
          <w:szCs w:val="24"/>
        </w:rPr>
      </w:pPr>
      <w:hyperlink w:history="1" r:id="rId10">
        <w:r w:rsidRPr="00830BC7" w:rsidR="00830BC7">
          <w:rPr>
            <w:rStyle w:val="Hyperlink"/>
          </w:rPr>
          <w:t>Summary of PSRB Forum discussion points published</w:t>
        </w:r>
      </w:hyperlink>
      <w:r w:rsidR="00830BC7">
        <w:t>.</w:t>
      </w:r>
    </w:p>
    <w:p w:rsidRPr="00830BC7" w:rsidR="00830BC7" w:rsidP="00CD26CD" w:rsidRDefault="00F5398F" w14:paraId="6A60CDF5" w14:textId="419618C9">
      <w:pPr>
        <w:pStyle w:val="Heading4"/>
        <w:numPr>
          <w:ilvl w:val="0"/>
          <w:numId w:val="28"/>
        </w:numPr>
        <w:spacing w:after="120"/>
        <w:rPr>
          <w:rFonts w:ascii="Calibri" w:hAnsi="Calibri" w:cs="Calibri"/>
          <w:sz w:val="24"/>
          <w:szCs w:val="24"/>
        </w:rPr>
      </w:pPr>
      <w:hyperlink w:history="1" r:id="rId11">
        <w:r w:rsidRPr="00830BC7" w:rsidR="00830BC7">
          <w:rPr>
            <w:rStyle w:val="Hyperlink"/>
          </w:rPr>
          <w:t>Latest QAA podcast episode explores playful exploration in co-curricular learning</w:t>
        </w:r>
      </w:hyperlink>
      <w:r w:rsidR="00830BC7">
        <w:t>.</w:t>
      </w:r>
    </w:p>
    <w:p w:rsidRPr="00830BC7" w:rsidR="00830BC7" w:rsidP="00CD26CD" w:rsidRDefault="00F5398F" w14:paraId="2A8459A4" w14:textId="4255A326">
      <w:pPr>
        <w:pStyle w:val="Heading4"/>
        <w:numPr>
          <w:ilvl w:val="0"/>
          <w:numId w:val="28"/>
        </w:numPr>
        <w:spacing w:after="120"/>
        <w:rPr>
          <w:rFonts w:ascii="Calibri" w:hAnsi="Calibri" w:cs="Calibri"/>
          <w:sz w:val="24"/>
          <w:szCs w:val="24"/>
        </w:rPr>
      </w:pPr>
      <w:hyperlink w:history="1" r:id="rId12">
        <w:r w:rsidRPr="00830BC7" w:rsidR="00830BC7">
          <w:rPr>
            <w:rStyle w:val="Hyperlink"/>
          </w:rPr>
          <w:t>Advice on maintaining academic standards amid marking and assessment boycott now available</w:t>
        </w:r>
      </w:hyperlink>
      <w:r w:rsidR="00830BC7">
        <w:t>.</w:t>
      </w:r>
    </w:p>
    <w:p w:rsidRPr="00D43BA0" w:rsidR="00D43BA0" w:rsidP="00CD26CD" w:rsidRDefault="00F5398F" w14:paraId="680FD4E6" w14:textId="5EB395BD">
      <w:pPr>
        <w:pStyle w:val="Heading4"/>
        <w:numPr>
          <w:ilvl w:val="0"/>
          <w:numId w:val="28"/>
        </w:numPr>
        <w:spacing w:after="120"/>
        <w:rPr>
          <w:rFonts w:ascii="Calibri" w:hAnsi="Calibri" w:cs="Calibri"/>
          <w:sz w:val="24"/>
          <w:szCs w:val="24"/>
        </w:rPr>
      </w:pPr>
      <w:hyperlink w:history="1" r:id="rId13">
        <w:r w:rsidRPr="00D43BA0" w:rsidR="00D43BA0">
          <w:rPr>
            <w:rStyle w:val="Hyperlink"/>
          </w:rPr>
          <w:t>QAA statement on media coverage of Subject Benchmark Statement for Mathematics, Statistics and Operational Research</w:t>
        </w:r>
      </w:hyperlink>
      <w:r w:rsidR="00D43BA0">
        <w:t>.</w:t>
      </w:r>
    </w:p>
    <w:p w:rsidR="00CD26CD" w:rsidP="00CD26CD" w:rsidRDefault="00F5398F" w14:paraId="69AE7D39" w14:textId="59533472">
      <w:pPr>
        <w:pStyle w:val="Heading4"/>
        <w:numPr>
          <w:ilvl w:val="0"/>
          <w:numId w:val="28"/>
        </w:numPr>
        <w:spacing w:after="120"/>
        <w:rPr>
          <w:rFonts w:ascii="Calibri" w:hAnsi="Calibri" w:cs="Calibri"/>
          <w:sz w:val="24"/>
          <w:szCs w:val="24"/>
        </w:rPr>
      </w:pPr>
      <w:hyperlink w:history="1" r:id="rId14">
        <w:r w:rsidRPr="00CD26CD" w:rsidR="00CD26CD">
          <w:rPr>
            <w:rStyle w:val="Hyperlink"/>
            <w:rFonts w:ascii="Calibri" w:hAnsi="Calibri" w:cs="Calibri"/>
            <w:sz w:val="24"/>
            <w:szCs w:val="24"/>
          </w:rPr>
          <w:t>New report on student experiences and engagement across post-pandemic UK higher education published</w:t>
        </w:r>
      </w:hyperlink>
      <w:r w:rsidR="00CD26CD">
        <w:rPr>
          <w:rFonts w:ascii="Calibri" w:hAnsi="Calibri" w:cs="Calibri"/>
          <w:sz w:val="24"/>
          <w:szCs w:val="24"/>
        </w:rPr>
        <w:t>.</w:t>
      </w:r>
    </w:p>
    <w:p w:rsidR="00CD26CD" w:rsidP="00CD26CD" w:rsidRDefault="00F5398F" w14:paraId="7B6AAED7" w14:textId="6C964DFD">
      <w:pPr>
        <w:pStyle w:val="Heading4"/>
        <w:numPr>
          <w:ilvl w:val="0"/>
          <w:numId w:val="28"/>
        </w:numPr>
        <w:spacing w:after="120"/>
        <w:rPr>
          <w:rFonts w:ascii="Calibri" w:hAnsi="Calibri" w:cs="Calibri"/>
          <w:sz w:val="24"/>
          <w:szCs w:val="24"/>
        </w:rPr>
      </w:pPr>
      <w:hyperlink w:history="1" r:id="rId15">
        <w:r w:rsidRPr="00020DAD" w:rsidR="00CD26CD">
          <w:rPr>
            <w:rStyle w:val="Hyperlink"/>
            <w:rFonts w:ascii="Calibri" w:hAnsi="Calibri" w:cs="Calibri"/>
            <w:sz w:val="24"/>
            <w:szCs w:val="24"/>
          </w:rPr>
          <w:t>Complete collection of academic integrity resources from Collaborative Enhancement Project now available</w:t>
        </w:r>
      </w:hyperlink>
      <w:r w:rsidR="00CD26CD">
        <w:rPr>
          <w:rFonts w:ascii="Calibri" w:hAnsi="Calibri" w:cs="Calibri"/>
          <w:sz w:val="24"/>
          <w:szCs w:val="24"/>
        </w:rPr>
        <w:t>.</w:t>
      </w:r>
    </w:p>
    <w:p w:rsidR="00CD26CD" w:rsidP="00CD26CD" w:rsidRDefault="00F5398F" w14:paraId="59F0215F" w14:textId="348EA953">
      <w:pPr>
        <w:pStyle w:val="Heading4"/>
        <w:numPr>
          <w:ilvl w:val="0"/>
          <w:numId w:val="28"/>
        </w:numPr>
        <w:spacing w:after="120"/>
        <w:rPr>
          <w:rFonts w:ascii="Calibri" w:hAnsi="Calibri" w:cs="Calibri"/>
          <w:sz w:val="24"/>
          <w:szCs w:val="24"/>
        </w:rPr>
      </w:pPr>
      <w:hyperlink w:history="1" r:id="rId16">
        <w:r w:rsidRPr="00020DAD" w:rsidR="00CD26CD">
          <w:rPr>
            <w:rStyle w:val="Hyperlink"/>
            <w:rFonts w:ascii="Calibri" w:hAnsi="Calibri" w:cs="Calibri"/>
            <w:sz w:val="24"/>
            <w:szCs w:val="24"/>
          </w:rPr>
          <w:t>QAA publishes additional advice on Generative Artificial Intelligence tools.</w:t>
        </w:r>
      </w:hyperlink>
    </w:p>
    <w:p w:rsidR="00CD26CD" w:rsidP="00CD26CD" w:rsidRDefault="00F5398F" w14:paraId="3AF39259" w14:textId="42768100">
      <w:pPr>
        <w:pStyle w:val="Heading4"/>
        <w:numPr>
          <w:ilvl w:val="0"/>
          <w:numId w:val="28"/>
        </w:numPr>
        <w:spacing w:after="120"/>
        <w:rPr>
          <w:rFonts w:ascii="Calibri" w:hAnsi="Calibri" w:cs="Calibri"/>
          <w:sz w:val="24"/>
          <w:szCs w:val="24"/>
        </w:rPr>
      </w:pPr>
      <w:hyperlink w:history="1" r:id="rId17">
        <w:r w:rsidRPr="00020DAD" w:rsidR="00CD26CD">
          <w:rPr>
            <w:rStyle w:val="Hyperlink"/>
            <w:rFonts w:ascii="Calibri" w:hAnsi="Calibri" w:cs="Calibri"/>
            <w:sz w:val="24"/>
            <w:szCs w:val="24"/>
          </w:rPr>
          <w:t>Latest QAA podcast explores higher education sector engagement with industry</w:t>
        </w:r>
      </w:hyperlink>
      <w:r w:rsidR="00CD26CD">
        <w:rPr>
          <w:rFonts w:ascii="Calibri" w:hAnsi="Calibri" w:cs="Calibri"/>
          <w:sz w:val="24"/>
          <w:szCs w:val="24"/>
        </w:rPr>
        <w:t>.</w:t>
      </w:r>
    </w:p>
    <w:p w:rsidR="00CD26CD" w:rsidP="00CD26CD" w:rsidRDefault="00F5398F" w14:paraId="5D1E34FA" w14:textId="74EE0C9A">
      <w:pPr>
        <w:pStyle w:val="Heading4"/>
        <w:numPr>
          <w:ilvl w:val="0"/>
          <w:numId w:val="28"/>
        </w:numPr>
        <w:spacing w:after="120"/>
        <w:rPr>
          <w:rFonts w:ascii="Calibri" w:hAnsi="Calibri" w:cs="Calibri"/>
          <w:sz w:val="24"/>
          <w:szCs w:val="24"/>
        </w:rPr>
      </w:pPr>
      <w:hyperlink w:history="1" r:id="rId18">
        <w:r w:rsidRPr="00020DAD" w:rsidR="00CD26CD">
          <w:rPr>
            <w:rStyle w:val="Hyperlink"/>
            <w:rFonts w:ascii="Calibri" w:hAnsi="Calibri" w:cs="Calibri"/>
            <w:sz w:val="24"/>
            <w:szCs w:val="24"/>
          </w:rPr>
          <w:t>Feedback summary for Quality Code review published</w:t>
        </w:r>
      </w:hyperlink>
      <w:r w:rsidR="00CD26CD">
        <w:rPr>
          <w:rFonts w:ascii="Calibri" w:hAnsi="Calibri" w:cs="Calibri"/>
          <w:sz w:val="24"/>
          <w:szCs w:val="24"/>
        </w:rPr>
        <w:t>.</w:t>
      </w:r>
    </w:p>
    <w:p w:rsidR="00CD26CD" w:rsidP="00CD26CD" w:rsidRDefault="00F5398F" w14:paraId="346607D0" w14:textId="622B169A">
      <w:pPr>
        <w:pStyle w:val="Heading4"/>
        <w:numPr>
          <w:ilvl w:val="0"/>
          <w:numId w:val="28"/>
        </w:numPr>
        <w:spacing w:after="120"/>
        <w:rPr>
          <w:rFonts w:ascii="Calibri" w:hAnsi="Calibri" w:cs="Calibri"/>
          <w:sz w:val="24"/>
          <w:szCs w:val="24"/>
        </w:rPr>
      </w:pPr>
      <w:hyperlink w:history="1" r:id="rId19">
        <w:r w:rsidRPr="00020DAD" w:rsidR="00CD26CD">
          <w:rPr>
            <w:rStyle w:val="Hyperlink"/>
            <w:rFonts w:ascii="Calibri" w:hAnsi="Calibri" w:cs="Calibri"/>
            <w:sz w:val="24"/>
            <w:szCs w:val="24"/>
          </w:rPr>
          <w:t>New guidance on delivering competence-based education available to members</w:t>
        </w:r>
      </w:hyperlink>
      <w:r w:rsidR="00CD26CD">
        <w:rPr>
          <w:rFonts w:ascii="Calibri" w:hAnsi="Calibri" w:cs="Calibri"/>
          <w:sz w:val="24"/>
          <w:szCs w:val="24"/>
        </w:rPr>
        <w:t>.</w:t>
      </w:r>
    </w:p>
    <w:p w:rsidR="00CD26CD" w:rsidP="00CD26CD" w:rsidRDefault="00F5398F" w14:paraId="7A9435FB" w14:textId="4AC6F718">
      <w:pPr>
        <w:pStyle w:val="Heading4"/>
        <w:numPr>
          <w:ilvl w:val="0"/>
          <w:numId w:val="28"/>
        </w:numPr>
        <w:spacing w:after="120"/>
        <w:rPr>
          <w:rFonts w:ascii="Calibri" w:hAnsi="Calibri" w:cs="Calibri"/>
          <w:sz w:val="24"/>
          <w:szCs w:val="24"/>
        </w:rPr>
      </w:pPr>
      <w:hyperlink w:history="1" r:id="rId20">
        <w:r w:rsidRPr="00951744" w:rsidR="00CD26CD">
          <w:rPr>
            <w:rStyle w:val="Hyperlink"/>
            <w:rFonts w:ascii="Calibri" w:hAnsi="Calibri" w:cs="Calibri"/>
            <w:sz w:val="24"/>
            <w:szCs w:val="24"/>
          </w:rPr>
          <w:t>New framework for inclusive higher education</w:t>
        </w:r>
      </w:hyperlink>
      <w:r w:rsidR="00CD26CD">
        <w:rPr>
          <w:rFonts w:ascii="Calibri" w:hAnsi="Calibri" w:cs="Calibri"/>
          <w:sz w:val="24"/>
          <w:szCs w:val="24"/>
        </w:rPr>
        <w:t>.</w:t>
      </w:r>
    </w:p>
    <w:p w:rsidR="00CD26CD" w:rsidP="00CD26CD" w:rsidRDefault="00F5398F" w14:paraId="388DA03A" w14:textId="4A2F3ED3">
      <w:pPr>
        <w:pStyle w:val="Heading4"/>
        <w:numPr>
          <w:ilvl w:val="0"/>
          <w:numId w:val="28"/>
        </w:numPr>
        <w:spacing w:after="120"/>
        <w:rPr>
          <w:rFonts w:ascii="Calibri" w:hAnsi="Calibri" w:cs="Calibri"/>
          <w:sz w:val="24"/>
          <w:szCs w:val="24"/>
        </w:rPr>
      </w:pPr>
      <w:hyperlink w:history="1" r:id="rId21">
        <w:r w:rsidRPr="00951744" w:rsidR="00CD26CD">
          <w:rPr>
            <w:rStyle w:val="Hyperlink"/>
            <w:rFonts w:ascii="Calibri" w:hAnsi="Calibri" w:cs="Calibri"/>
            <w:sz w:val="24"/>
            <w:szCs w:val="24"/>
          </w:rPr>
          <w:t>QAA unveils new strategy for its work in tertiary education.</w:t>
        </w:r>
      </w:hyperlink>
    </w:p>
    <w:p w:rsidR="00CD26CD" w:rsidP="00CD26CD" w:rsidRDefault="00F5398F" w14:paraId="68811767" w14:textId="10EC373B">
      <w:pPr>
        <w:pStyle w:val="Heading4"/>
        <w:numPr>
          <w:ilvl w:val="0"/>
          <w:numId w:val="28"/>
        </w:numPr>
        <w:spacing w:after="120"/>
        <w:rPr>
          <w:rFonts w:ascii="Calibri" w:hAnsi="Calibri" w:cs="Calibri"/>
          <w:sz w:val="24"/>
          <w:szCs w:val="24"/>
        </w:rPr>
      </w:pPr>
      <w:hyperlink w:history="1" r:id="rId22">
        <w:r w:rsidRPr="00951744" w:rsidR="00CD26CD">
          <w:rPr>
            <w:rStyle w:val="Hyperlink"/>
            <w:rFonts w:ascii="Calibri" w:hAnsi="Calibri" w:cs="Calibri"/>
            <w:sz w:val="24"/>
            <w:szCs w:val="24"/>
          </w:rPr>
          <w:t>New guidance for supporting development of collaborative doctoral programmes</w:t>
        </w:r>
      </w:hyperlink>
      <w:r w:rsidR="00CD26CD">
        <w:rPr>
          <w:rFonts w:ascii="Calibri" w:hAnsi="Calibri" w:cs="Calibri"/>
          <w:sz w:val="24"/>
          <w:szCs w:val="24"/>
        </w:rPr>
        <w:t>.</w:t>
      </w:r>
    </w:p>
    <w:p w:rsidR="00CD26CD" w:rsidP="00CD26CD" w:rsidRDefault="00F5398F" w14:paraId="20825A4A" w14:textId="79116D50">
      <w:pPr>
        <w:pStyle w:val="Heading4"/>
        <w:numPr>
          <w:ilvl w:val="0"/>
          <w:numId w:val="28"/>
        </w:numPr>
        <w:spacing w:after="120"/>
        <w:rPr>
          <w:rFonts w:ascii="Calibri" w:hAnsi="Calibri" w:cs="Calibri"/>
          <w:sz w:val="24"/>
          <w:szCs w:val="24"/>
        </w:rPr>
      </w:pPr>
      <w:hyperlink w:history="1" r:id="rId23">
        <w:r w:rsidRPr="00951744" w:rsidR="00CD26CD">
          <w:rPr>
            <w:rStyle w:val="Hyperlink"/>
            <w:rFonts w:ascii="Calibri" w:hAnsi="Calibri" w:cs="Calibri"/>
            <w:sz w:val="24"/>
            <w:szCs w:val="24"/>
          </w:rPr>
          <w:t>Latest QAA podcast discusses improving support for postgraduate researchers</w:t>
        </w:r>
      </w:hyperlink>
      <w:r w:rsidR="00CD26CD">
        <w:rPr>
          <w:rFonts w:ascii="Calibri" w:hAnsi="Calibri" w:cs="Calibri"/>
          <w:sz w:val="24"/>
          <w:szCs w:val="24"/>
        </w:rPr>
        <w:t>.</w:t>
      </w:r>
    </w:p>
    <w:p w:rsidR="00CD26CD" w:rsidP="00CD26CD" w:rsidRDefault="00F5398F" w14:paraId="1A85F3C8" w14:textId="05B77258">
      <w:pPr>
        <w:pStyle w:val="Heading4"/>
        <w:numPr>
          <w:ilvl w:val="0"/>
          <w:numId w:val="28"/>
        </w:numPr>
        <w:spacing w:after="120"/>
        <w:rPr>
          <w:rFonts w:ascii="Calibri" w:hAnsi="Calibri" w:cs="Calibri"/>
          <w:sz w:val="24"/>
          <w:szCs w:val="24"/>
        </w:rPr>
      </w:pPr>
      <w:hyperlink w:history="1" r:id="rId24">
        <w:r w:rsidRPr="00951744" w:rsidR="00CD26CD">
          <w:rPr>
            <w:rStyle w:val="Hyperlink"/>
            <w:rFonts w:ascii="Calibri" w:hAnsi="Calibri" w:cs="Calibri"/>
            <w:sz w:val="24"/>
            <w:szCs w:val="24"/>
          </w:rPr>
          <w:t>New guidance on supporting and enhancing the experience of international students in the UK</w:t>
        </w:r>
      </w:hyperlink>
      <w:r w:rsidR="00CD26CD">
        <w:rPr>
          <w:rFonts w:ascii="Calibri" w:hAnsi="Calibri" w:cs="Calibri"/>
          <w:sz w:val="24"/>
          <w:szCs w:val="24"/>
        </w:rPr>
        <w:t>.</w:t>
      </w:r>
    </w:p>
    <w:p w:rsidR="00CD26CD" w:rsidP="00CD26CD" w:rsidRDefault="00F5398F" w14:paraId="372A4A91" w14:textId="2C7B4CC6">
      <w:pPr>
        <w:pStyle w:val="Heading4"/>
        <w:numPr>
          <w:ilvl w:val="0"/>
          <w:numId w:val="28"/>
        </w:numPr>
        <w:spacing w:after="120"/>
        <w:rPr>
          <w:rFonts w:ascii="Calibri" w:hAnsi="Calibri" w:cs="Calibri"/>
          <w:sz w:val="24"/>
          <w:szCs w:val="24"/>
        </w:rPr>
      </w:pPr>
      <w:hyperlink w:history="1" r:id="rId25">
        <w:r w:rsidRPr="00951744" w:rsidR="00CD26CD">
          <w:rPr>
            <w:rStyle w:val="Hyperlink"/>
            <w:rFonts w:ascii="Calibri" w:hAnsi="Calibri" w:cs="Calibri"/>
            <w:sz w:val="24"/>
            <w:szCs w:val="24"/>
          </w:rPr>
          <w:t>Sharing the highlights from our 2022-23 membership year so far</w:t>
        </w:r>
      </w:hyperlink>
      <w:r w:rsidR="00CD26CD">
        <w:rPr>
          <w:rFonts w:ascii="Calibri" w:hAnsi="Calibri" w:cs="Calibri"/>
          <w:sz w:val="24"/>
          <w:szCs w:val="24"/>
        </w:rPr>
        <w:t>.</w:t>
      </w:r>
    </w:p>
    <w:p w:rsidR="00B16CE8" w:rsidP="00181CAA" w:rsidRDefault="00B16CE8" w14:paraId="1597C041" w14:textId="77777777">
      <w:pPr>
        <w:pStyle w:val="Heading2"/>
        <w:rPr>
          <w:color w:val="0070C0"/>
          <w:sz w:val="24"/>
          <w:szCs w:val="24"/>
        </w:rPr>
      </w:pPr>
    </w:p>
    <w:p w:rsidRPr="00B16CE8" w:rsidR="005A6DCC" w:rsidP="00181CAA" w:rsidRDefault="005A6DCC" w14:paraId="0D2AEBB4" w14:textId="46B47FCD">
      <w:pPr>
        <w:pStyle w:val="Heading2"/>
        <w:rPr>
          <w:color w:val="0070C0"/>
          <w:szCs w:val="20"/>
        </w:rPr>
      </w:pPr>
      <w:bookmarkStart w:name="_Toc137199610" w:id="14"/>
      <w:r w:rsidRPr="00B16CE8">
        <w:rPr>
          <w:color w:val="0070C0"/>
          <w:szCs w:val="20"/>
        </w:rPr>
        <w:t>O</w:t>
      </w:r>
      <w:r w:rsidRPr="00B16CE8" w:rsidR="00181CAA">
        <w:rPr>
          <w:color w:val="0070C0"/>
          <w:szCs w:val="20"/>
        </w:rPr>
        <w:t>FFICE FOR STUDENTS</w:t>
      </w:r>
      <w:bookmarkEnd w:id="14"/>
    </w:p>
    <w:p w:rsidR="00FE751F" w:rsidP="00EA500B" w:rsidRDefault="000E4C77" w14:paraId="03DECCD1" w14:textId="3D24D333">
      <w:pPr>
        <w:pStyle w:val="Heading4"/>
        <w:numPr>
          <w:ilvl w:val="0"/>
          <w:numId w:val="0"/>
        </w:numPr>
        <w:spacing w:after="120"/>
        <w:ind w:left="567" w:hanging="567"/>
        <w:rPr>
          <w:rFonts w:ascii="Calibri" w:hAnsi="Calibri" w:cs="Calibri"/>
          <w:sz w:val="24"/>
          <w:szCs w:val="24"/>
        </w:rPr>
      </w:pPr>
      <w:r w:rsidRPr="003F7B85">
        <w:rPr>
          <w:rFonts w:ascii="Calibri" w:hAnsi="Calibri" w:cs="Calibri"/>
          <w:sz w:val="24"/>
          <w:szCs w:val="24"/>
        </w:rPr>
        <w:t xml:space="preserve">Latest news from the </w:t>
      </w:r>
      <w:proofErr w:type="spellStart"/>
      <w:r w:rsidRPr="003F7B85">
        <w:rPr>
          <w:rFonts w:ascii="Calibri" w:hAnsi="Calibri" w:cs="Calibri"/>
          <w:sz w:val="24"/>
          <w:szCs w:val="24"/>
        </w:rPr>
        <w:t>OfS</w:t>
      </w:r>
      <w:proofErr w:type="spellEnd"/>
      <w:r w:rsidRPr="003F7B85">
        <w:rPr>
          <w:rFonts w:ascii="Calibri" w:hAnsi="Calibri" w:cs="Calibri"/>
          <w:sz w:val="24"/>
          <w:szCs w:val="24"/>
        </w:rPr>
        <w:t>:</w:t>
      </w:r>
    </w:p>
    <w:p w:rsidRPr="00593E4B" w:rsidR="00593E4B" w:rsidP="004A03C2" w:rsidRDefault="00F5398F" w14:paraId="65DEA675" w14:textId="2E275DF2">
      <w:pPr>
        <w:pStyle w:val="Heading4"/>
        <w:numPr>
          <w:ilvl w:val="0"/>
          <w:numId w:val="29"/>
        </w:numPr>
        <w:spacing w:after="120"/>
        <w:rPr>
          <w:rFonts w:ascii="Calibri" w:hAnsi="Calibri" w:cs="Calibri"/>
          <w:sz w:val="24"/>
          <w:szCs w:val="24"/>
        </w:rPr>
      </w:pPr>
      <w:hyperlink w:history="1" r:id="rId26">
        <w:r w:rsidRPr="00593E4B" w:rsidR="00593E4B">
          <w:rPr>
            <w:rStyle w:val="Hyperlink"/>
          </w:rPr>
          <w:t>New data on rejected speakers at English universities</w:t>
        </w:r>
      </w:hyperlink>
      <w:r w:rsidR="00593E4B">
        <w:t>.</w:t>
      </w:r>
    </w:p>
    <w:p w:rsidRPr="00593E4B" w:rsidR="00593E4B" w:rsidP="004A03C2" w:rsidRDefault="00F5398F" w14:paraId="7BEDDF2B" w14:textId="24803785">
      <w:pPr>
        <w:pStyle w:val="Heading4"/>
        <w:numPr>
          <w:ilvl w:val="0"/>
          <w:numId w:val="29"/>
        </w:numPr>
        <w:spacing w:after="120"/>
        <w:rPr>
          <w:rFonts w:ascii="Calibri" w:hAnsi="Calibri" w:cs="Calibri"/>
          <w:sz w:val="24"/>
          <w:szCs w:val="24"/>
        </w:rPr>
      </w:pPr>
      <w:hyperlink w:history="1" r:id="rId27">
        <w:r w:rsidRPr="00593E4B" w:rsidR="00593E4B">
          <w:rPr>
            <w:rStyle w:val="Hyperlink"/>
          </w:rPr>
          <w:t>One in six students at English universities taught overseas</w:t>
        </w:r>
      </w:hyperlink>
      <w:r w:rsidR="00593E4B">
        <w:t>.</w:t>
      </w:r>
    </w:p>
    <w:p w:rsidR="004A03C2" w:rsidP="004A03C2" w:rsidRDefault="00F5398F" w14:paraId="1A9C9360" w14:textId="3C008B54">
      <w:pPr>
        <w:pStyle w:val="Heading4"/>
        <w:numPr>
          <w:ilvl w:val="0"/>
          <w:numId w:val="29"/>
        </w:numPr>
        <w:spacing w:after="120"/>
        <w:rPr>
          <w:rFonts w:ascii="Calibri" w:hAnsi="Calibri" w:cs="Calibri"/>
          <w:sz w:val="24"/>
          <w:szCs w:val="24"/>
        </w:rPr>
      </w:pPr>
      <w:hyperlink w:history="1" r:id="rId28">
        <w:r w:rsidRPr="004A03C2" w:rsidR="004A03C2">
          <w:rPr>
            <w:rStyle w:val="Hyperlink"/>
            <w:rFonts w:ascii="Calibri" w:hAnsi="Calibri" w:cs="Calibri"/>
            <w:sz w:val="24"/>
            <w:szCs w:val="24"/>
          </w:rPr>
          <w:t xml:space="preserve">New website and guidance to support </w:t>
        </w:r>
        <w:proofErr w:type="spellStart"/>
        <w:r w:rsidRPr="004A03C2" w:rsidR="004A03C2">
          <w:rPr>
            <w:rStyle w:val="Hyperlink"/>
            <w:rFonts w:ascii="Calibri" w:hAnsi="Calibri" w:cs="Calibri"/>
            <w:sz w:val="24"/>
            <w:szCs w:val="24"/>
          </w:rPr>
          <w:t>uni</w:t>
        </w:r>
        <w:proofErr w:type="spellEnd"/>
        <w:r w:rsidRPr="004A03C2" w:rsidR="004A03C2">
          <w:rPr>
            <w:rStyle w:val="Hyperlink"/>
            <w:rFonts w:ascii="Calibri" w:hAnsi="Calibri" w:cs="Calibri"/>
            <w:sz w:val="24"/>
            <w:szCs w:val="24"/>
          </w:rPr>
          <w:t>-school partnerships</w:t>
        </w:r>
      </w:hyperlink>
      <w:r w:rsidR="004A03C2">
        <w:rPr>
          <w:rFonts w:ascii="Calibri" w:hAnsi="Calibri" w:cs="Calibri"/>
          <w:sz w:val="24"/>
          <w:szCs w:val="24"/>
        </w:rPr>
        <w:t>.</w:t>
      </w:r>
    </w:p>
    <w:p w:rsidR="004A03C2" w:rsidP="004A03C2" w:rsidRDefault="00F5398F" w14:paraId="1045160D" w14:textId="13759A40">
      <w:pPr>
        <w:pStyle w:val="Heading4"/>
        <w:numPr>
          <w:ilvl w:val="0"/>
          <w:numId w:val="29"/>
        </w:numPr>
        <w:spacing w:after="120"/>
        <w:rPr>
          <w:rFonts w:ascii="Calibri" w:hAnsi="Calibri" w:cs="Calibri"/>
          <w:sz w:val="24"/>
          <w:szCs w:val="24"/>
        </w:rPr>
      </w:pPr>
      <w:hyperlink w:history="1" r:id="rId29">
        <w:r w:rsidRPr="004A03C2" w:rsidR="004A03C2">
          <w:rPr>
            <w:rStyle w:val="Hyperlink"/>
            <w:rFonts w:ascii="Calibri" w:hAnsi="Calibri" w:cs="Calibri"/>
            <w:sz w:val="24"/>
            <w:szCs w:val="24"/>
          </w:rPr>
          <w:t>University finances generally in good shape, but risks include over-reliance on international recruitment</w:t>
        </w:r>
      </w:hyperlink>
      <w:r w:rsidR="004A03C2">
        <w:rPr>
          <w:rFonts w:ascii="Calibri" w:hAnsi="Calibri" w:cs="Calibri"/>
          <w:sz w:val="24"/>
          <w:szCs w:val="24"/>
        </w:rPr>
        <w:t>.</w:t>
      </w:r>
    </w:p>
    <w:p w:rsidR="005B0EA7" w:rsidP="004A03C2" w:rsidRDefault="00F5398F" w14:paraId="0275D2CA" w14:textId="115E3F85">
      <w:pPr>
        <w:pStyle w:val="Heading4"/>
        <w:numPr>
          <w:ilvl w:val="0"/>
          <w:numId w:val="29"/>
        </w:numPr>
        <w:spacing w:after="120"/>
        <w:rPr>
          <w:rFonts w:ascii="Calibri" w:hAnsi="Calibri" w:cs="Calibri"/>
          <w:sz w:val="24"/>
          <w:szCs w:val="24"/>
        </w:rPr>
      </w:pPr>
      <w:hyperlink w:history="1" r:id="rId30">
        <w:proofErr w:type="spellStart"/>
        <w:r w:rsidRPr="005B0EA7" w:rsidR="005B0EA7">
          <w:rPr>
            <w:rStyle w:val="Hyperlink"/>
            <w:rFonts w:ascii="Calibri" w:hAnsi="Calibri" w:cs="Calibri"/>
            <w:sz w:val="24"/>
            <w:szCs w:val="24"/>
          </w:rPr>
          <w:t>OfS</w:t>
        </w:r>
        <w:proofErr w:type="spellEnd"/>
        <w:r w:rsidRPr="005B0EA7" w:rsidR="005B0EA7">
          <w:rPr>
            <w:rStyle w:val="Hyperlink"/>
            <w:rFonts w:ascii="Calibri" w:hAnsi="Calibri" w:cs="Calibri"/>
            <w:sz w:val="24"/>
            <w:szCs w:val="24"/>
          </w:rPr>
          <w:t xml:space="preserve"> sets out risks to the financial sustainability of universities and colleges – media coverage</w:t>
        </w:r>
      </w:hyperlink>
      <w:r w:rsidR="005B0EA7">
        <w:rPr>
          <w:rFonts w:ascii="Calibri" w:hAnsi="Calibri" w:cs="Calibri"/>
          <w:sz w:val="24"/>
          <w:szCs w:val="24"/>
        </w:rPr>
        <w:t>.</w:t>
      </w:r>
    </w:p>
    <w:p w:rsidRPr="00566B45" w:rsidR="00566B45" w:rsidP="00566B45" w:rsidRDefault="00F5398F" w14:paraId="47E3790B" w14:textId="729ABF6F">
      <w:pPr>
        <w:pStyle w:val="Heading4"/>
        <w:numPr>
          <w:ilvl w:val="0"/>
          <w:numId w:val="29"/>
        </w:numPr>
        <w:spacing w:after="120"/>
        <w:rPr>
          <w:rFonts w:ascii="Calibri" w:hAnsi="Calibri" w:cs="Calibri"/>
          <w:sz w:val="24"/>
          <w:szCs w:val="24"/>
        </w:rPr>
      </w:pPr>
      <w:hyperlink w:history="1" r:id="rId31">
        <w:r w:rsidRPr="00566B45" w:rsidR="00566B45">
          <w:rPr>
            <w:rStyle w:val="Hyperlink"/>
            <w:rFonts w:ascii="Calibri" w:hAnsi="Calibri" w:cs="Calibri"/>
            <w:sz w:val="24"/>
            <w:szCs w:val="24"/>
          </w:rPr>
          <w:t xml:space="preserve">Uni </w:t>
        </w:r>
        <w:r w:rsidR="00566B45">
          <w:rPr>
            <w:rStyle w:val="Hyperlink"/>
            <w:rFonts w:ascii="Calibri" w:hAnsi="Calibri" w:cs="Calibri"/>
            <w:sz w:val="24"/>
            <w:szCs w:val="24"/>
          </w:rPr>
          <w:t>C</w:t>
        </w:r>
        <w:r w:rsidRPr="00566B45" w:rsidR="00566B45">
          <w:rPr>
            <w:rStyle w:val="Hyperlink"/>
            <w:rFonts w:ascii="Calibri" w:hAnsi="Calibri" w:cs="Calibri"/>
            <w:sz w:val="24"/>
            <w:szCs w:val="24"/>
          </w:rPr>
          <w:t>onnect: driving collaboration and evaluation to improve equality of opportunity</w:t>
        </w:r>
      </w:hyperlink>
      <w:r w:rsidR="00566B45">
        <w:rPr>
          <w:rFonts w:ascii="Calibri" w:hAnsi="Calibri" w:cs="Calibri"/>
          <w:sz w:val="24"/>
          <w:szCs w:val="24"/>
        </w:rPr>
        <w:t>.</w:t>
      </w:r>
    </w:p>
    <w:p w:rsidR="004A03C2" w:rsidP="004A03C2" w:rsidRDefault="00F5398F" w14:paraId="732E0712" w14:textId="69CDEC7D">
      <w:pPr>
        <w:pStyle w:val="Heading4"/>
        <w:numPr>
          <w:ilvl w:val="0"/>
          <w:numId w:val="29"/>
        </w:numPr>
        <w:spacing w:after="120"/>
        <w:rPr>
          <w:rFonts w:ascii="Calibri" w:hAnsi="Calibri" w:cs="Calibri"/>
          <w:sz w:val="24"/>
          <w:szCs w:val="24"/>
        </w:rPr>
      </w:pPr>
      <w:hyperlink w:history="1" r:id="rId32">
        <w:proofErr w:type="spellStart"/>
        <w:r w:rsidRPr="004A03C2" w:rsidR="004A03C2">
          <w:rPr>
            <w:rStyle w:val="Hyperlink"/>
            <w:rFonts w:ascii="Calibri" w:hAnsi="Calibri" w:cs="Calibri"/>
            <w:sz w:val="24"/>
            <w:szCs w:val="24"/>
          </w:rPr>
          <w:t>OfS</w:t>
        </w:r>
        <w:proofErr w:type="spellEnd"/>
        <w:r w:rsidRPr="004A03C2" w:rsidR="004A03C2">
          <w:rPr>
            <w:rStyle w:val="Hyperlink"/>
            <w:rFonts w:ascii="Calibri" w:hAnsi="Calibri" w:cs="Calibri"/>
            <w:sz w:val="24"/>
            <w:szCs w:val="24"/>
          </w:rPr>
          <w:t xml:space="preserve"> appoints new Director of Regulation</w:t>
        </w:r>
      </w:hyperlink>
      <w:r w:rsidR="004A03C2">
        <w:rPr>
          <w:rFonts w:ascii="Calibri" w:hAnsi="Calibri" w:cs="Calibri"/>
          <w:sz w:val="24"/>
          <w:szCs w:val="24"/>
        </w:rPr>
        <w:t>.</w:t>
      </w:r>
    </w:p>
    <w:p w:rsidR="004A03C2" w:rsidP="004A03C2" w:rsidRDefault="00F5398F" w14:paraId="5A5881EB" w14:textId="338E2BE8">
      <w:pPr>
        <w:pStyle w:val="Heading4"/>
        <w:numPr>
          <w:ilvl w:val="0"/>
          <w:numId w:val="29"/>
        </w:numPr>
        <w:spacing w:after="120"/>
        <w:rPr>
          <w:rFonts w:ascii="Calibri" w:hAnsi="Calibri" w:cs="Calibri"/>
          <w:sz w:val="24"/>
          <w:szCs w:val="24"/>
        </w:rPr>
      </w:pPr>
      <w:hyperlink w:history="1" r:id="rId33">
        <w:r w:rsidRPr="004A03C2" w:rsidR="004A03C2">
          <w:rPr>
            <w:rStyle w:val="Hyperlink"/>
            <w:rFonts w:ascii="Calibri" w:hAnsi="Calibri" w:cs="Calibri"/>
            <w:sz w:val="24"/>
            <w:szCs w:val="24"/>
          </w:rPr>
          <w:t xml:space="preserve">New case studies explain how </w:t>
        </w:r>
        <w:proofErr w:type="spellStart"/>
        <w:r w:rsidRPr="004A03C2" w:rsidR="004A03C2">
          <w:rPr>
            <w:rStyle w:val="Hyperlink"/>
            <w:rFonts w:ascii="Calibri" w:hAnsi="Calibri" w:cs="Calibri"/>
            <w:sz w:val="24"/>
            <w:szCs w:val="24"/>
          </w:rPr>
          <w:t>OfS</w:t>
        </w:r>
        <w:proofErr w:type="spellEnd"/>
        <w:r w:rsidRPr="004A03C2" w:rsidR="004A03C2">
          <w:rPr>
            <w:rStyle w:val="Hyperlink"/>
            <w:rFonts w:ascii="Calibri" w:hAnsi="Calibri" w:cs="Calibri"/>
            <w:sz w:val="24"/>
            <w:szCs w:val="24"/>
          </w:rPr>
          <w:t xml:space="preserve"> responds to risk of closure at universities and colleges</w:t>
        </w:r>
      </w:hyperlink>
      <w:r w:rsidR="004A03C2">
        <w:rPr>
          <w:rFonts w:ascii="Calibri" w:hAnsi="Calibri" w:cs="Calibri"/>
          <w:sz w:val="24"/>
          <w:szCs w:val="24"/>
        </w:rPr>
        <w:t>.</w:t>
      </w:r>
    </w:p>
    <w:p w:rsidR="005B0EA7" w:rsidP="004A03C2" w:rsidRDefault="00F5398F" w14:paraId="37C684B2" w14:textId="6FD247E5">
      <w:pPr>
        <w:pStyle w:val="Heading4"/>
        <w:numPr>
          <w:ilvl w:val="0"/>
          <w:numId w:val="29"/>
        </w:numPr>
        <w:spacing w:after="120"/>
        <w:rPr>
          <w:rFonts w:ascii="Calibri" w:hAnsi="Calibri" w:cs="Calibri"/>
          <w:sz w:val="24"/>
          <w:szCs w:val="24"/>
        </w:rPr>
      </w:pPr>
      <w:hyperlink w:history="1" r:id="rId34">
        <w:r w:rsidRPr="005B0EA7" w:rsidR="005B0EA7">
          <w:rPr>
            <w:rStyle w:val="Hyperlink"/>
            <w:rFonts w:ascii="Calibri" w:hAnsi="Calibri" w:cs="Calibri"/>
            <w:sz w:val="24"/>
            <w:szCs w:val="24"/>
          </w:rPr>
          <w:t>Office for Students launches consultation on publication of the National Student Survey</w:t>
        </w:r>
      </w:hyperlink>
      <w:r w:rsidR="005B0EA7">
        <w:rPr>
          <w:rFonts w:ascii="Calibri" w:hAnsi="Calibri" w:cs="Calibri"/>
          <w:sz w:val="24"/>
          <w:szCs w:val="24"/>
        </w:rPr>
        <w:t>.</w:t>
      </w: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35">
        <w:r w:rsidRPr="005429C8" w:rsidR="00FE4C87">
          <w:rPr>
            <w:rStyle w:val="Hyperlink"/>
            <w:rFonts w:cs="Arial" w:asciiTheme="minorHAnsi" w:hAnsiTheme="minorHAnsi"/>
            <w:b/>
            <w:bCs/>
            <w:sz w:val="24"/>
          </w:rPr>
          <w:t>quality@hull.ac.uk</w:t>
        </w:r>
      </w:hyperlink>
    </w:p>
    <w:sectPr w:rsidRPr="007D72BA" w:rsidR="00B5313B" w:rsidSect="007914A8">
      <w:headerReference w:type="default" r:id="rId36"/>
      <w:footerReference w:type="even" r:id="rId37"/>
      <w:footerReference w:type="default" r:id="rId38"/>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42637799"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A46443" w:rsidRPr="00904CAD">
      <w:rPr>
        <w:color w:val="808080"/>
        <w:sz w:val="16"/>
        <w:lang w:val="en-US"/>
      </w:rPr>
      <w:t>Issue 0</w:t>
    </w:r>
    <w:r w:rsidR="00EA500B">
      <w:rPr>
        <w:color w:val="808080"/>
        <w:sz w:val="16"/>
        <w:lang w:val="en-US"/>
      </w:rPr>
      <w:t>4</w:t>
    </w:r>
    <w:r w:rsidR="00D443F1">
      <w:rPr>
        <w:color w:val="808080"/>
        <w:sz w:val="16"/>
        <w:lang w:val="en-US"/>
      </w:rPr>
      <w:t xml:space="preserve">, </w:t>
    </w:r>
    <w:r w:rsidR="00EA500B">
      <w:rPr>
        <w:color w:val="808080"/>
        <w:sz w:val="16"/>
        <w:lang w:val="en-US"/>
      </w:rPr>
      <w:t>May</w:t>
    </w:r>
    <w:r w:rsidR="00FE31E8">
      <w:rPr>
        <w:color w:val="808080"/>
        <w:sz w:val="16"/>
        <w:lang w:val="en-US"/>
      </w:rPr>
      <w:t xml:space="preserve"> 2023</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5BCD4CEA"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5EE"/>
    <w:multiLevelType w:val="hybridMultilevel"/>
    <w:tmpl w:val="166EE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94171"/>
    <w:multiLevelType w:val="hybridMultilevel"/>
    <w:tmpl w:val="B5E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105B0"/>
    <w:multiLevelType w:val="hybridMultilevel"/>
    <w:tmpl w:val="B310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2D4"/>
    <w:multiLevelType w:val="hybridMultilevel"/>
    <w:tmpl w:val="1052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C04AD"/>
    <w:multiLevelType w:val="hybridMultilevel"/>
    <w:tmpl w:val="1D2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40A8"/>
    <w:multiLevelType w:val="hybridMultilevel"/>
    <w:tmpl w:val="74E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682B"/>
    <w:multiLevelType w:val="hybridMultilevel"/>
    <w:tmpl w:val="01E650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454D9"/>
    <w:multiLevelType w:val="hybridMultilevel"/>
    <w:tmpl w:val="BE78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A3B49"/>
    <w:multiLevelType w:val="hybridMultilevel"/>
    <w:tmpl w:val="60A88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C6F07"/>
    <w:multiLevelType w:val="hybridMultilevel"/>
    <w:tmpl w:val="74A44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BC7E3B"/>
    <w:multiLevelType w:val="hybridMultilevel"/>
    <w:tmpl w:val="48B24112"/>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D758D"/>
    <w:multiLevelType w:val="hybridMultilevel"/>
    <w:tmpl w:val="052CE9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200033"/>
    <w:multiLevelType w:val="hybridMultilevel"/>
    <w:tmpl w:val="9F7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1B81"/>
    <w:multiLevelType w:val="hybridMultilevel"/>
    <w:tmpl w:val="A16C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15056"/>
    <w:multiLevelType w:val="hybridMultilevel"/>
    <w:tmpl w:val="96E4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641D8D"/>
    <w:multiLevelType w:val="hybridMultilevel"/>
    <w:tmpl w:val="A8DA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84FE7"/>
    <w:multiLevelType w:val="hybridMultilevel"/>
    <w:tmpl w:val="33F6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517BE4"/>
    <w:multiLevelType w:val="hybridMultilevel"/>
    <w:tmpl w:val="4E706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420437"/>
    <w:multiLevelType w:val="hybridMultilevel"/>
    <w:tmpl w:val="C68E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832F7"/>
    <w:multiLevelType w:val="hybridMultilevel"/>
    <w:tmpl w:val="E96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545012"/>
    <w:multiLevelType w:val="hybridMultilevel"/>
    <w:tmpl w:val="19EE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8C77786"/>
    <w:multiLevelType w:val="hybridMultilevel"/>
    <w:tmpl w:val="DC74D644"/>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C09A3"/>
    <w:multiLevelType w:val="hybridMultilevel"/>
    <w:tmpl w:val="C9E0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AF11B6"/>
    <w:multiLevelType w:val="hybridMultilevel"/>
    <w:tmpl w:val="D1647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097333"/>
    <w:multiLevelType w:val="hybridMultilevel"/>
    <w:tmpl w:val="99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6"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933C5"/>
    <w:multiLevelType w:val="hybridMultilevel"/>
    <w:tmpl w:val="5EB4BE7C"/>
    <w:lvl w:ilvl="0" w:tplc="E41A4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207722">
    <w:abstractNumId w:val="30"/>
  </w:num>
  <w:num w:numId="2" w16cid:durableId="1865359616">
    <w:abstractNumId w:val="35"/>
  </w:num>
  <w:num w:numId="3" w16cid:durableId="250086776">
    <w:abstractNumId w:val="4"/>
  </w:num>
  <w:num w:numId="4" w16cid:durableId="1303463906">
    <w:abstractNumId w:val="15"/>
  </w:num>
  <w:num w:numId="5" w16cid:durableId="1123384509">
    <w:abstractNumId w:val="19"/>
  </w:num>
  <w:num w:numId="6" w16cid:durableId="1478766564">
    <w:abstractNumId w:val="24"/>
  </w:num>
  <w:num w:numId="7" w16cid:durableId="1418164824">
    <w:abstractNumId w:val="1"/>
  </w:num>
  <w:num w:numId="8" w16cid:durableId="1528182700">
    <w:abstractNumId w:val="7"/>
  </w:num>
  <w:num w:numId="9" w16cid:durableId="358556325">
    <w:abstractNumId w:val="33"/>
  </w:num>
  <w:num w:numId="10" w16cid:durableId="712653928">
    <w:abstractNumId w:val="25"/>
  </w:num>
  <w:num w:numId="11" w16cid:durableId="1981381111">
    <w:abstractNumId w:val="3"/>
  </w:num>
  <w:num w:numId="12" w16cid:durableId="1363556141">
    <w:abstractNumId w:val="5"/>
  </w:num>
  <w:num w:numId="13" w16cid:durableId="2007710654">
    <w:abstractNumId w:val="36"/>
  </w:num>
  <w:num w:numId="14" w16cid:durableId="1525437410">
    <w:abstractNumId w:val="27"/>
  </w:num>
  <w:num w:numId="15" w16cid:durableId="1084494158">
    <w:abstractNumId w:val="20"/>
  </w:num>
  <w:num w:numId="16" w16cid:durableId="452019214">
    <w:abstractNumId w:val="11"/>
  </w:num>
  <w:num w:numId="17" w16cid:durableId="35783725">
    <w:abstractNumId w:val="18"/>
  </w:num>
  <w:num w:numId="18" w16cid:durableId="357394116">
    <w:abstractNumId w:val="12"/>
  </w:num>
  <w:num w:numId="19" w16cid:durableId="2105228657">
    <w:abstractNumId w:val="2"/>
  </w:num>
  <w:num w:numId="20" w16cid:durableId="238714845">
    <w:abstractNumId w:val="17"/>
    <w:lvlOverride w:ilvl="0">
      <w:startOverride w:val="1"/>
    </w:lvlOverride>
    <w:lvlOverride w:ilvl="1"/>
    <w:lvlOverride w:ilvl="2"/>
    <w:lvlOverride w:ilvl="3"/>
    <w:lvlOverride w:ilvl="4"/>
    <w:lvlOverride w:ilvl="5"/>
    <w:lvlOverride w:ilvl="6"/>
    <w:lvlOverride w:ilvl="7"/>
    <w:lvlOverride w:ilvl="8"/>
  </w:num>
  <w:num w:numId="21" w16cid:durableId="312682346">
    <w:abstractNumId w:val="16"/>
  </w:num>
  <w:num w:numId="22" w16cid:durableId="1848593630">
    <w:abstractNumId w:val="31"/>
  </w:num>
  <w:num w:numId="23" w16cid:durableId="1308363255">
    <w:abstractNumId w:val="34"/>
  </w:num>
  <w:num w:numId="24" w16cid:durableId="1699155761">
    <w:abstractNumId w:val="37"/>
  </w:num>
  <w:num w:numId="25" w16cid:durableId="629819637">
    <w:abstractNumId w:val="8"/>
  </w:num>
  <w:num w:numId="26" w16cid:durableId="1880774403">
    <w:abstractNumId w:val="23"/>
  </w:num>
  <w:num w:numId="27" w16cid:durableId="1818918420">
    <w:abstractNumId w:val="13"/>
  </w:num>
  <w:num w:numId="28" w16cid:durableId="556860679">
    <w:abstractNumId w:val="9"/>
  </w:num>
  <w:num w:numId="29" w16cid:durableId="696735731">
    <w:abstractNumId w:val="26"/>
  </w:num>
  <w:num w:numId="30" w16cid:durableId="299187573">
    <w:abstractNumId w:val="32"/>
  </w:num>
  <w:num w:numId="31" w16cid:durableId="80570350">
    <w:abstractNumId w:val="22"/>
  </w:num>
  <w:num w:numId="32" w16cid:durableId="937370017">
    <w:abstractNumId w:val="28"/>
  </w:num>
  <w:num w:numId="33" w16cid:durableId="333724712">
    <w:abstractNumId w:val="0"/>
  </w:num>
  <w:num w:numId="34" w16cid:durableId="961689447">
    <w:abstractNumId w:val="14"/>
  </w:num>
  <w:num w:numId="35" w16cid:durableId="1975213379">
    <w:abstractNumId w:val="10"/>
  </w:num>
  <w:num w:numId="36" w16cid:durableId="178280896">
    <w:abstractNumId w:val="29"/>
  </w:num>
  <w:num w:numId="37" w16cid:durableId="1801454837">
    <w:abstractNumId w:val="21"/>
  </w:num>
  <w:num w:numId="38" w16cid:durableId="41899149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9DB"/>
    <w:rsid w:val="0008276A"/>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BA5"/>
    <w:rsid w:val="001242C3"/>
    <w:rsid w:val="001246B2"/>
    <w:rsid w:val="00124914"/>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665"/>
    <w:rsid w:val="00175919"/>
    <w:rsid w:val="00176DCF"/>
    <w:rsid w:val="001771FA"/>
    <w:rsid w:val="00177686"/>
    <w:rsid w:val="00177C73"/>
    <w:rsid w:val="00177D03"/>
    <w:rsid w:val="0018032D"/>
    <w:rsid w:val="0018074C"/>
    <w:rsid w:val="00181A2F"/>
    <w:rsid w:val="00181CAA"/>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BA8"/>
    <w:rsid w:val="001F3028"/>
    <w:rsid w:val="001F3E4D"/>
    <w:rsid w:val="001F48C3"/>
    <w:rsid w:val="001F4F66"/>
    <w:rsid w:val="001F56CA"/>
    <w:rsid w:val="001F5906"/>
    <w:rsid w:val="00200A48"/>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620"/>
    <w:rsid w:val="00237AB6"/>
    <w:rsid w:val="00237B42"/>
    <w:rsid w:val="00237E23"/>
    <w:rsid w:val="00242701"/>
    <w:rsid w:val="00242774"/>
    <w:rsid w:val="0024290A"/>
    <w:rsid w:val="00243364"/>
    <w:rsid w:val="0024347D"/>
    <w:rsid w:val="002445F6"/>
    <w:rsid w:val="00245016"/>
    <w:rsid w:val="002450E0"/>
    <w:rsid w:val="00245B83"/>
    <w:rsid w:val="002469EA"/>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0CBC"/>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915"/>
    <w:rsid w:val="00542FBB"/>
    <w:rsid w:val="005431C4"/>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E1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6F6C"/>
    <w:rsid w:val="006674B2"/>
    <w:rsid w:val="00670B02"/>
    <w:rsid w:val="006713AE"/>
    <w:rsid w:val="006728F9"/>
    <w:rsid w:val="00673C67"/>
    <w:rsid w:val="0067441D"/>
    <w:rsid w:val="00674913"/>
    <w:rsid w:val="00675737"/>
    <w:rsid w:val="0067608E"/>
    <w:rsid w:val="006761F8"/>
    <w:rsid w:val="00677566"/>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6F0C"/>
    <w:rsid w:val="006E7058"/>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2C11"/>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21D1"/>
    <w:rsid w:val="008134C7"/>
    <w:rsid w:val="00814601"/>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234D"/>
    <w:rsid w:val="00942428"/>
    <w:rsid w:val="0094267E"/>
    <w:rsid w:val="00943D78"/>
    <w:rsid w:val="009451F6"/>
    <w:rsid w:val="009464F0"/>
    <w:rsid w:val="009500CB"/>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14D9"/>
    <w:rsid w:val="009C316F"/>
    <w:rsid w:val="009C355A"/>
    <w:rsid w:val="009C7E86"/>
    <w:rsid w:val="009D0158"/>
    <w:rsid w:val="009D0974"/>
    <w:rsid w:val="009D1B7F"/>
    <w:rsid w:val="009D1E3B"/>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3022"/>
    <w:rsid w:val="00A23707"/>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1975"/>
    <w:rsid w:val="00A821E6"/>
    <w:rsid w:val="00A82485"/>
    <w:rsid w:val="00A82808"/>
    <w:rsid w:val="00A82E3F"/>
    <w:rsid w:val="00A85DD9"/>
    <w:rsid w:val="00A85F0C"/>
    <w:rsid w:val="00A864B8"/>
    <w:rsid w:val="00A86D85"/>
    <w:rsid w:val="00A87E58"/>
    <w:rsid w:val="00A9004D"/>
    <w:rsid w:val="00A90AF5"/>
    <w:rsid w:val="00A91962"/>
    <w:rsid w:val="00A926E8"/>
    <w:rsid w:val="00A94D0F"/>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64E"/>
    <w:rsid w:val="00BF2ABB"/>
    <w:rsid w:val="00BF3517"/>
    <w:rsid w:val="00BF3BE1"/>
    <w:rsid w:val="00BF415D"/>
    <w:rsid w:val="00BF45D4"/>
    <w:rsid w:val="00BF4675"/>
    <w:rsid w:val="00BF4FD8"/>
    <w:rsid w:val="00BF58BA"/>
    <w:rsid w:val="00BF683F"/>
    <w:rsid w:val="00BF685F"/>
    <w:rsid w:val="00BF7415"/>
    <w:rsid w:val="00C01C24"/>
    <w:rsid w:val="00C043CC"/>
    <w:rsid w:val="00C04631"/>
    <w:rsid w:val="00C0627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543C"/>
    <w:rsid w:val="00E17828"/>
    <w:rsid w:val="00E20C44"/>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5E2F"/>
    <w:rsid w:val="00F26CF6"/>
    <w:rsid w:val="00F270D0"/>
    <w:rsid w:val="00F3017C"/>
    <w:rsid w:val="00F3327D"/>
    <w:rsid w:val="00F347EC"/>
    <w:rsid w:val="00F3526B"/>
    <w:rsid w:val="00F36B7A"/>
    <w:rsid w:val="00F37087"/>
    <w:rsid w:val="00F37F6A"/>
    <w:rsid w:val="00F37FC1"/>
    <w:rsid w:val="00F40998"/>
    <w:rsid w:val="00F409C6"/>
    <w:rsid w:val="00F416D2"/>
    <w:rsid w:val="00F424F3"/>
    <w:rsid w:val="00F43B31"/>
    <w:rsid w:val="00F44249"/>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aa.ac.uk/news-events/news/qaa-statement-on-media-coverage-of-subject-benchmark-statement-for-mathematics-statistics-and-operational-research" TargetMode="External"/><Relationship Id="rId18" Type="http://schemas.openxmlformats.org/officeDocument/2006/relationships/hyperlink" Target="https://www.qaa.ac.uk/news-events/news/feedback-summary-for-quality-code-review-published" TargetMode="External"/><Relationship Id="rId26" Type="http://schemas.openxmlformats.org/officeDocument/2006/relationships/hyperlink" Target="https://www.officeforstudents.org.uk/news-blog-and-events/press-and-media/new-data-on-rejected-speakers-at-english-universities/" TargetMode="External"/><Relationship Id="rId39" Type="http://schemas.openxmlformats.org/officeDocument/2006/relationships/fontTable" Target="fontTable.xml"/><Relationship Id="rId21" Type="http://schemas.openxmlformats.org/officeDocument/2006/relationships/hyperlink" Target="https://www.qaa.ac.uk/news-events/news/qaa-unveils-new-strategy-for-its-work-in-tertiary-education" TargetMode="External"/><Relationship Id="rId34" Type="http://schemas.openxmlformats.org/officeDocument/2006/relationships/hyperlink" Target="https://www.officeforstudents.org.uk/news-blog-and-events/press-and-media/office-for-students-launches-consultation-on-publication-of-the-national-student-survey/" TargetMode="External"/><Relationship Id="rId7" Type="http://schemas.openxmlformats.org/officeDocument/2006/relationships/endnotes" Target="endnotes.xml"/><Relationship Id="rId12" Type="http://schemas.openxmlformats.org/officeDocument/2006/relationships/hyperlink" Target="https://www.qaa.ac.uk/news-events/news/advice-on-maintaining-academic-standards-amid-marking-and-assessment-boycott-now-available" TargetMode="External"/><Relationship Id="rId17" Type="http://schemas.openxmlformats.org/officeDocument/2006/relationships/hyperlink" Target="https://www.qaa.ac.uk/news-events/news/latest-qaa-podcast-explores-higher-education-sector-engagement-with-industry" TargetMode="External"/><Relationship Id="rId25" Type="http://schemas.openxmlformats.org/officeDocument/2006/relationships/hyperlink" Target="https://www.qaa.ac.uk/news-events/news/sharing-the-highlights-from-our-2022-23-membership-year-so-far" TargetMode="External"/><Relationship Id="rId33" Type="http://schemas.openxmlformats.org/officeDocument/2006/relationships/hyperlink" Target="https://www.officeforstudents.org.uk/news-blog-and-events/press-and-media/new-case-studies-explain-how-ofs-responds-to-risk-of-closure-at-universities-and-colleg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qaa.ac.uk/news-events/news/qaa-publishes-additional-advice-on-generative-artificial-intelligence-tools" TargetMode="External"/><Relationship Id="rId20" Type="http://schemas.openxmlformats.org/officeDocument/2006/relationships/hyperlink" Target="https://www.qaa.ac.uk/news-events/news/new-framework-for-inclusive-higher-education" TargetMode="External"/><Relationship Id="rId29" Type="http://schemas.openxmlformats.org/officeDocument/2006/relationships/hyperlink" Target="https://www.officeforstudents.org.uk/news-blog-and-events/press-and-media/university-finances-generally-in-good-shape-but-risks-include-over-reliance-on-international-recrui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news-events/news/latest-qaa-podcast-episode-explores-playful-exploration-in-co-curricular-learning" TargetMode="External"/><Relationship Id="rId24" Type="http://schemas.openxmlformats.org/officeDocument/2006/relationships/hyperlink" Target="https://www.qaa.ac.uk/news-events/news/new-guidance-on-supporting-and-enhancing-the-experience-of-international-students-in-the-uk" TargetMode="External"/><Relationship Id="rId32" Type="http://schemas.openxmlformats.org/officeDocument/2006/relationships/hyperlink" Target="https://www.officeforstudents.org.uk/news-blog-and-events/press-and-media/ofs-appoints-new-director-of-regulatio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aa.ac.uk/news-events/news/complete-collection-of-academic-integrity-resources-from-collaborative-enhancement-project-now-available" TargetMode="External"/><Relationship Id="rId23" Type="http://schemas.openxmlformats.org/officeDocument/2006/relationships/hyperlink" Target="https://www.qaa.ac.uk/news-events/news/latest-qaa-podcast-discusses-improving-support-for-postgraduate-researchers" TargetMode="External"/><Relationship Id="rId28" Type="http://schemas.openxmlformats.org/officeDocument/2006/relationships/hyperlink" Target="https://www.officeforstudents.org.uk/news-blog-and-events/press-and-media/new-website-and-guidance-to-support-effective-uni-school-partnerships/" TargetMode="External"/><Relationship Id="rId36" Type="http://schemas.openxmlformats.org/officeDocument/2006/relationships/header" Target="header1.xml"/><Relationship Id="rId10" Type="http://schemas.openxmlformats.org/officeDocument/2006/relationships/hyperlink" Target="https://www.qaa.ac.uk/news-events/news/summary-of-psrb-forum-discussion-points-published" TargetMode="External"/><Relationship Id="rId19" Type="http://schemas.openxmlformats.org/officeDocument/2006/relationships/hyperlink" Target="https://www.qaa.ac.uk/news-events/news/new-guidance-on-delivering-competence-based-education-available-to-qaa-members" TargetMode="External"/><Relationship Id="rId31" Type="http://schemas.openxmlformats.org/officeDocument/2006/relationships/hyperlink" Target="https://www.officeforstudents.org.uk/news-blog-and-events/blog/uni-connect-driving-collaboration-and-evaluation-to-improve-equality-of-opportunity/" TargetMode="External"/><Relationship Id="rId4" Type="http://schemas.openxmlformats.org/officeDocument/2006/relationships/settings" Target="settings.xml"/><Relationship Id="rId9" Type="http://schemas.openxmlformats.org/officeDocument/2006/relationships/hyperlink" Target="https://www.qaa.ac.uk/news-events/news/new-toolkit-supporting-social-enterprise-and-entrepreneurial-skills-in-tertiary-education" TargetMode="External"/><Relationship Id="rId14" Type="http://schemas.openxmlformats.org/officeDocument/2006/relationships/hyperlink" Target="https://www.qaa.ac.uk/news-events/news/new-report-on-student-experiences-and-engagement-across-post-pandemic-uk-higher-education-published" TargetMode="External"/><Relationship Id="rId22" Type="http://schemas.openxmlformats.org/officeDocument/2006/relationships/hyperlink" Target="https://www.qaa.ac.uk/news-events/news/new-guidance-for-supporting-the-development-of-collaborative-doctoral-programmes" TargetMode="External"/><Relationship Id="rId27" Type="http://schemas.openxmlformats.org/officeDocument/2006/relationships/hyperlink" Target="https://www.officeforstudents.org.uk/news-blog-and-events/press-and-media/one-in-six-students-at-english-universities-taught-overseas/" TargetMode="External"/><Relationship Id="rId30" Type="http://schemas.openxmlformats.org/officeDocument/2006/relationships/hyperlink" Target="https://www.officeforstudents.org.uk/news-blog-and-events/press-and-media/ofs-sets-out-risks-to-the-financial-sustainability-of-universities-and-colleges-media-coverage/" TargetMode="External"/><Relationship Id="rId35" Type="http://schemas.openxmlformats.org/officeDocument/2006/relationships/hyperlink" Target="mailto:quality@hull.ac.uk" TargetMode="External"/><Relationship Id="rId8" Type="http://schemas.openxmlformats.org/officeDocument/2006/relationships/hyperlink" Target="mailto:L.Tees@hull.ac.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11</Pages>
  <Words>1742</Words>
  <Characters>15080</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16789</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 Update May 2023</dc:title>
  <dc:subject>
  </dc:subject>
  <dc:creator>Jane Iddon</dc:creator>
  <cp:keywords>
  </cp:keywords>
  <cp:lastModifiedBy>lisa tees</cp:lastModifiedBy>
  <cp:revision>147</cp:revision>
  <cp:lastPrinted>2016-10-28T10:34:00Z</cp:lastPrinted>
  <dcterms:created xsi:type="dcterms:W3CDTF">2022-02-23T17:43:00Z</dcterms:created>
  <dcterms:modified xsi:type="dcterms:W3CDTF">2023-06-12T14:51:41Z</dcterms:modified>
</cp:coreProperties>
</file>