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0079AA" w14:paraId="567FF2F5" w14:textId="6BB35523">
          <w:pPr>
            <w:pStyle w:val="PolicyTitle"/>
            <w:spacing w:after="360" w:line="240" w:lineRule="auto"/>
            <w:rPr>
              <w:sz w:val="36"/>
              <w:szCs w:val="36"/>
            </w:rPr>
          </w:pPr>
          <w:r w:rsidRPr="000079AA">
            <w:rPr>
              <w:sz w:val="36"/>
              <w:szCs w:val="36"/>
            </w:rPr>
            <w:t xml:space="preserve">Postgraduate and Graduate </w:t>
          </w:r>
          <w:r w:rsidR="00597395">
            <w:rPr>
              <w:sz w:val="36"/>
              <w:szCs w:val="36"/>
            </w:rPr>
            <w:t>Diplomas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6C3E4E" w14:paraId="39306864" w14:textId="43E1C88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0079AA">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6C3E4E" w14:paraId="31B699F8" w14:textId="09D7F56D">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79AA">
                  <w:rPr>
                    <w:b w:val="0"/>
                    <w:bCs/>
                    <w:color w:val="auto"/>
                    <w:sz w:val="22"/>
                    <w:szCs w:val="22"/>
                  </w:rPr>
                  <w:t>2 1</w:t>
                </w:r>
                <w:r w:rsidR="00597395">
                  <w:rPr>
                    <w:b w:val="0"/>
                    <w:bCs/>
                    <w:color w:val="auto"/>
                    <w:sz w:val="22"/>
                    <w:szCs w:val="22"/>
                  </w:rPr>
                  <w:t>7</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6C3E4E" w14:paraId="086EE632" w14:textId="48A6DB7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0079A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6C3E4E" w14:paraId="61A4A8F3" w14:textId="609080B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0079AA">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6C3E4E" w14:paraId="1252F2F2" w14:textId="2509299B">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sdtContent>
                <w:r w:rsidR="000079AA">
                  <w:rPr>
                    <w:b w:val="0"/>
                    <w:bCs/>
                    <w:color w:val="auto"/>
                    <w:sz w:val="22"/>
                    <w:szCs w:val="22"/>
                  </w:rPr>
                  <w:t>19 June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6C3E4E" w14:paraId="3AC671EE" w14:textId="0BECD26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0079AA">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6C3E4E" w14:paraId="5101B7D5" w14:textId="2FA408A5">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0079AA">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6C3E4E" w14:paraId="5EBE624B" w14:textId="5D417E7F">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0079AA">
                  <w:rPr>
                    <w:b w:val="0"/>
                    <w:bCs/>
                    <w:color w:val="auto"/>
                    <w:sz w:val="22"/>
                    <w:szCs w:val="22"/>
                  </w:rPr>
                  <w:t>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6C3E4E" w14:paraId="196463B0" w14:textId="4DE03DB4">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0079AA">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5D3B62F" w14:textId="77777777">
            <w:pPr>
              <w:pStyle w:val="PolicyTitle"/>
              <w:spacing w:after="240"/>
              <w:rPr>
                <w:color w:val="auto"/>
                <w:sz w:val="22"/>
                <w:szCs w:val="22"/>
              </w:rPr>
            </w:pPr>
            <w:r w:rsidRPr="005C3775">
              <w:rPr>
                <w:color w:val="auto"/>
                <w:sz w:val="22"/>
                <w:szCs w:val="22"/>
              </w:rPr>
              <w:t>Contact:</w:t>
            </w:r>
          </w:p>
          <w:p w:rsidRPr="005C3775" w:rsidR="000079AA" w:rsidP="00E73AF9" w:rsidRDefault="000079AA" w14:paraId="17A0E353" w14:textId="3EB18DA9">
            <w:pPr>
              <w:pStyle w:val="PolicyTitle"/>
              <w:spacing w:after="240"/>
              <w:rPr>
                <w:color w:val="auto"/>
                <w:sz w:val="22"/>
                <w:szCs w:val="22"/>
              </w:rPr>
            </w:pPr>
            <w:r>
              <w:rPr>
                <w:color w:val="auto"/>
                <w:sz w:val="22"/>
                <w:szCs w:val="22"/>
              </w:rPr>
              <w:t>Report exemptions to:</w:t>
            </w:r>
          </w:p>
        </w:tc>
        <w:tc>
          <w:tcPr>
            <w:tcW w:w="6336" w:type="dxa"/>
          </w:tcPr>
          <w:p w:rsidR="00FD5282" w:rsidP="00E73AF9" w:rsidRDefault="006C3E4E" w14:paraId="23EC3FEE"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0079AA">
                  <w:rPr>
                    <w:b w:val="0"/>
                    <w:bCs/>
                    <w:color w:val="auto"/>
                    <w:sz w:val="22"/>
                    <w:szCs w:val="22"/>
                    <w:lang w:val="it-IT"/>
                  </w:rPr>
                  <w:t>Quality Support Service</w:t>
                </w:r>
              </w:sdtContent>
            </w:sdt>
          </w:p>
          <w:p w:rsidRPr="000079AA" w:rsidR="000079AA" w:rsidP="000079AA" w:rsidRDefault="000079AA" w14:paraId="123D99E2" w14:textId="39758FEF">
            <w:r>
              <w:t>Education Student Experience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6C3E4E" w14:paraId="2461BAFE" w14:textId="74CF7983">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0079AA">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6C3E4E" w14:paraId="30450FD0" w14:textId="1FBC3629">
            <w:pPr>
              <w:pStyle w:val="PolicyTitle"/>
              <w:spacing w:after="240"/>
              <w:rPr>
                <w:b w:val="0"/>
                <w:bCs/>
                <w:color w:val="auto"/>
                <w:sz w:val="22"/>
                <w:szCs w:val="22"/>
              </w:rPr>
            </w:pPr>
            <w:sdt>
              <w:sdtPr>
                <w:rPr>
                  <w:b w:val="0"/>
                  <w:bCs/>
                  <w:color w:val="auto"/>
                  <w:sz w:val="20"/>
                  <w:szCs w:val="20"/>
                </w:rPr>
                <w:alias w:val="RelDocs"/>
                <w:tag w:val="RelDocs"/>
                <w:id w:val="-880247332"/>
                <w:lock w:val="sdtLocked"/>
                <w:placeholder>
                  <w:docPart w:val="417AE3AC0C754BC4A48474CC5D152DA4"/>
                </w:placeholder>
                <w:text/>
              </w:sdtPr>
              <w:sdtEndPr/>
              <w:sdtContent>
                <w:r w:rsidRPr="000079AA" w:rsidR="000079AA">
                  <w:rPr>
                    <w:b w:val="0"/>
                    <w:bCs/>
                    <w:color w:val="auto"/>
                    <w:sz w:val="20"/>
                    <w:szCs w:val="20"/>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Certificated and Experiential Learning.  University Code of Practice for Requests for Extensions and Additional Consideration. University Code of Practice Suspension of Study.</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6C3E4E" w14:paraId="10AD8CAD" w14:textId="66CE9378">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0079AA">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6C3E4E" w14:paraId="047E3FAD" w14:textId="53AB85CF">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0079AA" w:rsidR="000079AA">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lastRenderedPageBreak/>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97395" w14:paraId="338EF9A3" w14:textId="1D09A4AF">
          <w:pPr>
            <w:pStyle w:val="PolicyTitle"/>
            <w:spacing w:after="360" w:line="240" w:lineRule="auto"/>
            <w:rPr>
              <w:sz w:val="36"/>
              <w:szCs w:val="36"/>
            </w:rPr>
          </w:pPr>
          <w:r>
            <w:rPr>
              <w:sz w:val="36"/>
              <w:szCs w:val="36"/>
            </w:rPr>
            <w:t>Postgraduate and Graduate Diplomas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7D2DBD" w:rsidRDefault="00F24D55" w14:paraId="170ABD3B" w14:textId="2DEE873F">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3339493">
            <w:r w:rsidRPr="001A48E5" w:rsidR="007D2DBD">
              <w:rPr>
                <w:rStyle w:val="Hyperlink"/>
                <w:noProof/>
              </w:rPr>
              <w:t>Introduction</w:t>
            </w:r>
            <w:r w:rsidR="007D2DBD">
              <w:rPr>
                <w:noProof/>
                <w:webHidden/>
              </w:rPr>
              <w:tab/>
            </w:r>
            <w:r w:rsidR="007D2DBD">
              <w:rPr>
                <w:noProof/>
                <w:webHidden/>
              </w:rPr>
              <w:fldChar w:fldCharType="begin"/>
            </w:r>
            <w:r w:rsidR="007D2DBD">
              <w:rPr>
                <w:noProof/>
                <w:webHidden/>
              </w:rPr>
              <w:instrText xml:space="preserve"> PAGEREF _Toc173339493 \h </w:instrText>
            </w:r>
            <w:r w:rsidR="007D2DBD">
              <w:rPr>
                <w:noProof/>
                <w:webHidden/>
              </w:rPr>
            </w:r>
            <w:r w:rsidR="007D2DBD">
              <w:rPr>
                <w:noProof/>
                <w:webHidden/>
              </w:rPr>
              <w:fldChar w:fldCharType="separate"/>
            </w:r>
            <w:r w:rsidR="007D2DBD">
              <w:rPr>
                <w:noProof/>
                <w:webHidden/>
              </w:rPr>
              <w:t>5</w:t>
            </w:r>
            <w:r w:rsidR="007D2DBD">
              <w:rPr>
                <w:noProof/>
                <w:webHidden/>
              </w:rPr>
              <w:fldChar w:fldCharType="end"/>
            </w:r>
          </w:hyperlink>
        </w:p>
        <w:p w:rsidR="007D2DBD" w:rsidRDefault="006C3E4E" w14:paraId="120A308A" w14:textId="17D458F7">
          <w:pPr>
            <w:pStyle w:val="TOC1"/>
            <w:rPr>
              <w:rFonts w:asciiTheme="minorHAnsi" w:hAnsiTheme="minorHAnsi" w:cstheme="minorBidi"/>
              <w:noProof/>
              <w:kern w:val="2"/>
              <w:sz w:val="24"/>
              <w:szCs w:val="24"/>
              <w:lang w:val="en-GB" w:eastAsia="en-GB"/>
              <w14:ligatures w14:val="standardContextual"/>
            </w:rPr>
          </w:pPr>
          <w:hyperlink w:history="1" w:anchor="_Toc173339494">
            <w:r w:rsidRPr="001A48E5" w:rsidR="007D2DBD">
              <w:rPr>
                <w:rStyle w:val="Hyperlink"/>
                <w:noProof/>
              </w:rPr>
              <w:t>MODULES AND CREDITS</w:t>
            </w:r>
            <w:r w:rsidR="007D2DBD">
              <w:rPr>
                <w:noProof/>
                <w:webHidden/>
              </w:rPr>
              <w:tab/>
            </w:r>
            <w:r w:rsidR="007D2DBD">
              <w:rPr>
                <w:noProof/>
                <w:webHidden/>
              </w:rPr>
              <w:fldChar w:fldCharType="begin"/>
            </w:r>
            <w:r w:rsidR="007D2DBD">
              <w:rPr>
                <w:noProof/>
                <w:webHidden/>
              </w:rPr>
              <w:instrText xml:space="preserve"> PAGEREF _Toc173339494 \h </w:instrText>
            </w:r>
            <w:r w:rsidR="007D2DBD">
              <w:rPr>
                <w:noProof/>
                <w:webHidden/>
              </w:rPr>
            </w:r>
            <w:r w:rsidR="007D2DBD">
              <w:rPr>
                <w:noProof/>
                <w:webHidden/>
              </w:rPr>
              <w:fldChar w:fldCharType="separate"/>
            </w:r>
            <w:r w:rsidR="007D2DBD">
              <w:rPr>
                <w:noProof/>
                <w:webHidden/>
              </w:rPr>
              <w:t>5</w:t>
            </w:r>
            <w:r w:rsidR="007D2DBD">
              <w:rPr>
                <w:noProof/>
                <w:webHidden/>
              </w:rPr>
              <w:fldChar w:fldCharType="end"/>
            </w:r>
          </w:hyperlink>
        </w:p>
        <w:p w:rsidR="007D2DBD" w:rsidRDefault="006C3E4E" w14:paraId="2BF4E923" w14:textId="640FF8AC">
          <w:pPr>
            <w:pStyle w:val="TOC1"/>
            <w:rPr>
              <w:rFonts w:asciiTheme="minorHAnsi" w:hAnsiTheme="minorHAnsi" w:cstheme="minorBidi"/>
              <w:noProof/>
              <w:kern w:val="2"/>
              <w:sz w:val="24"/>
              <w:szCs w:val="24"/>
              <w:lang w:val="en-GB" w:eastAsia="en-GB"/>
              <w14:ligatures w14:val="standardContextual"/>
            </w:rPr>
          </w:pPr>
          <w:hyperlink w:history="1" w:anchor="_Toc173339495">
            <w:r w:rsidRPr="001A48E5" w:rsidR="007D2DBD">
              <w:rPr>
                <w:rStyle w:val="Hyperlink"/>
                <w:noProof/>
              </w:rPr>
              <w:t>1</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Modules</w:t>
            </w:r>
            <w:r w:rsidR="007D2DBD">
              <w:rPr>
                <w:noProof/>
                <w:webHidden/>
              </w:rPr>
              <w:tab/>
            </w:r>
            <w:r w:rsidR="007D2DBD">
              <w:rPr>
                <w:noProof/>
                <w:webHidden/>
              </w:rPr>
              <w:fldChar w:fldCharType="begin"/>
            </w:r>
            <w:r w:rsidR="007D2DBD">
              <w:rPr>
                <w:noProof/>
                <w:webHidden/>
              </w:rPr>
              <w:instrText xml:space="preserve"> PAGEREF _Toc173339495 \h </w:instrText>
            </w:r>
            <w:r w:rsidR="007D2DBD">
              <w:rPr>
                <w:noProof/>
                <w:webHidden/>
              </w:rPr>
            </w:r>
            <w:r w:rsidR="007D2DBD">
              <w:rPr>
                <w:noProof/>
                <w:webHidden/>
              </w:rPr>
              <w:fldChar w:fldCharType="separate"/>
            </w:r>
            <w:r w:rsidR="007D2DBD">
              <w:rPr>
                <w:noProof/>
                <w:webHidden/>
              </w:rPr>
              <w:t>5</w:t>
            </w:r>
            <w:r w:rsidR="007D2DBD">
              <w:rPr>
                <w:noProof/>
                <w:webHidden/>
              </w:rPr>
              <w:fldChar w:fldCharType="end"/>
            </w:r>
          </w:hyperlink>
        </w:p>
        <w:p w:rsidR="007D2DBD" w:rsidRDefault="006C3E4E" w14:paraId="6DA0B6BC" w14:textId="617944D5">
          <w:pPr>
            <w:pStyle w:val="TOC1"/>
            <w:rPr>
              <w:rFonts w:asciiTheme="minorHAnsi" w:hAnsiTheme="minorHAnsi" w:cstheme="minorBidi"/>
              <w:noProof/>
              <w:kern w:val="2"/>
              <w:sz w:val="24"/>
              <w:szCs w:val="24"/>
              <w:lang w:val="en-GB" w:eastAsia="en-GB"/>
              <w14:ligatures w14:val="standardContextual"/>
            </w:rPr>
          </w:pPr>
          <w:hyperlink w:history="1" w:anchor="_Toc173339496">
            <w:r w:rsidRPr="001A48E5" w:rsidR="007D2DBD">
              <w:rPr>
                <w:rStyle w:val="Hyperlink"/>
                <w:noProof/>
              </w:rPr>
              <w:t>2</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Credit values</w:t>
            </w:r>
            <w:r w:rsidR="007D2DBD">
              <w:rPr>
                <w:noProof/>
                <w:webHidden/>
              </w:rPr>
              <w:tab/>
            </w:r>
            <w:r w:rsidR="007D2DBD">
              <w:rPr>
                <w:noProof/>
                <w:webHidden/>
              </w:rPr>
              <w:fldChar w:fldCharType="begin"/>
            </w:r>
            <w:r w:rsidR="007D2DBD">
              <w:rPr>
                <w:noProof/>
                <w:webHidden/>
              </w:rPr>
              <w:instrText xml:space="preserve"> PAGEREF _Toc173339496 \h </w:instrText>
            </w:r>
            <w:r w:rsidR="007D2DBD">
              <w:rPr>
                <w:noProof/>
                <w:webHidden/>
              </w:rPr>
            </w:r>
            <w:r w:rsidR="007D2DBD">
              <w:rPr>
                <w:noProof/>
                <w:webHidden/>
              </w:rPr>
              <w:fldChar w:fldCharType="separate"/>
            </w:r>
            <w:r w:rsidR="007D2DBD">
              <w:rPr>
                <w:noProof/>
                <w:webHidden/>
              </w:rPr>
              <w:t>5</w:t>
            </w:r>
            <w:r w:rsidR="007D2DBD">
              <w:rPr>
                <w:noProof/>
                <w:webHidden/>
              </w:rPr>
              <w:fldChar w:fldCharType="end"/>
            </w:r>
          </w:hyperlink>
        </w:p>
        <w:p w:rsidR="007D2DBD" w:rsidRDefault="006C3E4E" w14:paraId="498F2E07" w14:textId="7763FBB4">
          <w:pPr>
            <w:pStyle w:val="TOC1"/>
            <w:rPr>
              <w:rFonts w:asciiTheme="minorHAnsi" w:hAnsiTheme="minorHAnsi" w:cstheme="minorBidi"/>
              <w:noProof/>
              <w:kern w:val="2"/>
              <w:sz w:val="24"/>
              <w:szCs w:val="24"/>
              <w:lang w:val="en-GB" w:eastAsia="en-GB"/>
              <w14:ligatures w14:val="standardContextual"/>
            </w:rPr>
          </w:pPr>
          <w:hyperlink w:history="1" w:anchor="_Toc173339497">
            <w:r w:rsidRPr="001A48E5" w:rsidR="007D2DBD">
              <w:rPr>
                <w:rStyle w:val="Hyperlink"/>
                <w:noProof/>
              </w:rPr>
              <w:t>3</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Valid life of credits</w:t>
            </w:r>
            <w:r w:rsidR="007D2DBD">
              <w:rPr>
                <w:noProof/>
                <w:webHidden/>
              </w:rPr>
              <w:tab/>
            </w:r>
            <w:r w:rsidR="007D2DBD">
              <w:rPr>
                <w:noProof/>
                <w:webHidden/>
              </w:rPr>
              <w:fldChar w:fldCharType="begin"/>
            </w:r>
            <w:r w:rsidR="007D2DBD">
              <w:rPr>
                <w:noProof/>
                <w:webHidden/>
              </w:rPr>
              <w:instrText xml:space="preserve"> PAGEREF _Toc173339497 \h </w:instrText>
            </w:r>
            <w:r w:rsidR="007D2DBD">
              <w:rPr>
                <w:noProof/>
                <w:webHidden/>
              </w:rPr>
            </w:r>
            <w:r w:rsidR="007D2DBD">
              <w:rPr>
                <w:noProof/>
                <w:webHidden/>
              </w:rPr>
              <w:fldChar w:fldCharType="separate"/>
            </w:r>
            <w:r w:rsidR="007D2DBD">
              <w:rPr>
                <w:noProof/>
                <w:webHidden/>
              </w:rPr>
              <w:t>5</w:t>
            </w:r>
            <w:r w:rsidR="007D2DBD">
              <w:rPr>
                <w:noProof/>
                <w:webHidden/>
              </w:rPr>
              <w:fldChar w:fldCharType="end"/>
            </w:r>
          </w:hyperlink>
        </w:p>
        <w:p w:rsidR="007D2DBD" w:rsidRDefault="006C3E4E" w14:paraId="14E59365" w14:textId="6F253055">
          <w:pPr>
            <w:pStyle w:val="TOC1"/>
            <w:rPr>
              <w:rFonts w:asciiTheme="minorHAnsi" w:hAnsiTheme="minorHAnsi" w:cstheme="minorBidi"/>
              <w:noProof/>
              <w:kern w:val="2"/>
              <w:sz w:val="24"/>
              <w:szCs w:val="24"/>
              <w:lang w:val="en-GB" w:eastAsia="en-GB"/>
              <w14:ligatures w14:val="standardContextual"/>
            </w:rPr>
          </w:pPr>
          <w:hyperlink w:history="1" w:anchor="_Toc173339498">
            <w:r w:rsidRPr="001A48E5" w:rsidR="007D2DBD">
              <w:rPr>
                <w:rStyle w:val="Hyperlink"/>
                <w:noProof/>
              </w:rPr>
              <w:t>4</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Duplication of awards</w:t>
            </w:r>
            <w:r w:rsidR="007D2DBD">
              <w:rPr>
                <w:noProof/>
                <w:webHidden/>
              </w:rPr>
              <w:tab/>
            </w:r>
            <w:r w:rsidR="007D2DBD">
              <w:rPr>
                <w:noProof/>
                <w:webHidden/>
              </w:rPr>
              <w:fldChar w:fldCharType="begin"/>
            </w:r>
            <w:r w:rsidR="007D2DBD">
              <w:rPr>
                <w:noProof/>
                <w:webHidden/>
              </w:rPr>
              <w:instrText xml:space="preserve"> PAGEREF _Toc173339498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46543CCB" w14:textId="3F939B71">
          <w:pPr>
            <w:pStyle w:val="TOC1"/>
            <w:rPr>
              <w:rFonts w:asciiTheme="minorHAnsi" w:hAnsiTheme="minorHAnsi" w:cstheme="minorBidi"/>
              <w:noProof/>
              <w:kern w:val="2"/>
              <w:sz w:val="24"/>
              <w:szCs w:val="24"/>
              <w:lang w:val="en-GB" w:eastAsia="en-GB"/>
              <w14:ligatures w14:val="standardContextual"/>
            </w:rPr>
          </w:pPr>
          <w:hyperlink w:history="1" w:anchor="_Toc173339499">
            <w:r w:rsidRPr="001A48E5" w:rsidR="007D2DBD">
              <w:rPr>
                <w:rStyle w:val="Hyperlink"/>
                <w:noProof/>
              </w:rPr>
              <w:t>PROGRAMME STRUCTURES</w:t>
            </w:r>
            <w:r w:rsidR="007D2DBD">
              <w:rPr>
                <w:noProof/>
                <w:webHidden/>
              </w:rPr>
              <w:tab/>
            </w:r>
            <w:r w:rsidR="007D2DBD">
              <w:rPr>
                <w:noProof/>
                <w:webHidden/>
              </w:rPr>
              <w:fldChar w:fldCharType="begin"/>
            </w:r>
            <w:r w:rsidR="007D2DBD">
              <w:rPr>
                <w:noProof/>
                <w:webHidden/>
              </w:rPr>
              <w:instrText xml:space="preserve"> PAGEREF _Toc173339499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28AD0CF1" w14:textId="2D99D03A">
          <w:pPr>
            <w:pStyle w:val="TOC1"/>
            <w:rPr>
              <w:rFonts w:asciiTheme="minorHAnsi" w:hAnsiTheme="minorHAnsi" w:cstheme="minorBidi"/>
              <w:noProof/>
              <w:kern w:val="2"/>
              <w:sz w:val="24"/>
              <w:szCs w:val="24"/>
              <w:lang w:val="en-GB" w:eastAsia="en-GB"/>
              <w14:ligatures w14:val="standardContextual"/>
            </w:rPr>
          </w:pPr>
          <w:hyperlink w:history="1" w:anchor="_Toc173339500">
            <w:r w:rsidRPr="001A48E5" w:rsidR="007D2DBD">
              <w:rPr>
                <w:rStyle w:val="Hyperlink"/>
                <w:noProof/>
              </w:rPr>
              <w:t>5</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Programme Levels</w:t>
            </w:r>
            <w:r w:rsidR="007D2DBD">
              <w:rPr>
                <w:noProof/>
                <w:webHidden/>
              </w:rPr>
              <w:tab/>
            </w:r>
            <w:r w:rsidR="007D2DBD">
              <w:rPr>
                <w:noProof/>
                <w:webHidden/>
              </w:rPr>
              <w:fldChar w:fldCharType="begin"/>
            </w:r>
            <w:r w:rsidR="007D2DBD">
              <w:rPr>
                <w:noProof/>
                <w:webHidden/>
              </w:rPr>
              <w:instrText xml:space="preserve"> PAGEREF _Toc173339500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11D6412F" w14:textId="40D4BC2F">
          <w:pPr>
            <w:pStyle w:val="TOC1"/>
            <w:rPr>
              <w:rFonts w:asciiTheme="minorHAnsi" w:hAnsiTheme="minorHAnsi" w:cstheme="minorBidi"/>
              <w:noProof/>
              <w:kern w:val="2"/>
              <w:sz w:val="24"/>
              <w:szCs w:val="24"/>
              <w:lang w:val="en-GB" w:eastAsia="en-GB"/>
              <w14:ligatures w14:val="standardContextual"/>
            </w:rPr>
          </w:pPr>
          <w:hyperlink w:history="1" w:anchor="_Toc173339501">
            <w:r w:rsidRPr="001A48E5" w:rsidR="007D2DBD">
              <w:rPr>
                <w:rStyle w:val="Hyperlink"/>
                <w:noProof/>
              </w:rPr>
              <w:t>6</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Total Credit Values for Diplomas</w:t>
            </w:r>
            <w:r w:rsidR="007D2DBD">
              <w:rPr>
                <w:noProof/>
                <w:webHidden/>
              </w:rPr>
              <w:tab/>
            </w:r>
            <w:r w:rsidR="007D2DBD">
              <w:rPr>
                <w:noProof/>
                <w:webHidden/>
              </w:rPr>
              <w:fldChar w:fldCharType="begin"/>
            </w:r>
            <w:r w:rsidR="007D2DBD">
              <w:rPr>
                <w:noProof/>
                <w:webHidden/>
              </w:rPr>
              <w:instrText xml:space="preserve"> PAGEREF _Toc173339501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638F746D" w14:textId="553E66B3">
          <w:pPr>
            <w:pStyle w:val="TOC1"/>
            <w:rPr>
              <w:rFonts w:asciiTheme="minorHAnsi" w:hAnsiTheme="minorHAnsi" w:cstheme="minorBidi"/>
              <w:noProof/>
              <w:kern w:val="2"/>
              <w:sz w:val="24"/>
              <w:szCs w:val="24"/>
              <w:lang w:val="en-GB" w:eastAsia="en-GB"/>
              <w14:ligatures w14:val="standardContextual"/>
            </w:rPr>
          </w:pPr>
          <w:hyperlink w:history="1" w:anchor="_Toc173339502">
            <w:r w:rsidRPr="001A48E5" w:rsidR="007D2DBD">
              <w:rPr>
                <w:rStyle w:val="Hyperlink"/>
                <w:noProof/>
              </w:rPr>
              <w:t>7</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Pass/Fail assessment components</w:t>
            </w:r>
            <w:r w:rsidR="007D2DBD">
              <w:rPr>
                <w:noProof/>
                <w:webHidden/>
              </w:rPr>
              <w:tab/>
            </w:r>
            <w:r w:rsidR="007D2DBD">
              <w:rPr>
                <w:noProof/>
                <w:webHidden/>
              </w:rPr>
              <w:fldChar w:fldCharType="begin"/>
            </w:r>
            <w:r w:rsidR="007D2DBD">
              <w:rPr>
                <w:noProof/>
                <w:webHidden/>
              </w:rPr>
              <w:instrText xml:space="preserve"> PAGEREF _Toc173339502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117256F6" w14:textId="7F37BA50">
          <w:pPr>
            <w:pStyle w:val="TOC1"/>
            <w:rPr>
              <w:rFonts w:asciiTheme="minorHAnsi" w:hAnsiTheme="minorHAnsi" w:cstheme="minorBidi"/>
              <w:noProof/>
              <w:kern w:val="2"/>
              <w:sz w:val="24"/>
              <w:szCs w:val="24"/>
              <w:lang w:val="en-GB" w:eastAsia="en-GB"/>
              <w14:ligatures w14:val="standardContextual"/>
            </w:rPr>
          </w:pPr>
          <w:hyperlink w:history="1" w:anchor="_Toc173339503">
            <w:r w:rsidRPr="001A48E5" w:rsidR="007D2DBD">
              <w:rPr>
                <w:rStyle w:val="Hyperlink"/>
                <w:noProof/>
              </w:rPr>
              <w:t>8</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Required Progression Routes</w:t>
            </w:r>
            <w:r w:rsidR="007D2DBD">
              <w:rPr>
                <w:noProof/>
                <w:webHidden/>
              </w:rPr>
              <w:tab/>
            </w:r>
            <w:r w:rsidR="007D2DBD">
              <w:rPr>
                <w:noProof/>
                <w:webHidden/>
              </w:rPr>
              <w:fldChar w:fldCharType="begin"/>
            </w:r>
            <w:r w:rsidR="007D2DBD">
              <w:rPr>
                <w:noProof/>
                <w:webHidden/>
              </w:rPr>
              <w:instrText xml:space="preserve"> PAGEREF _Toc173339503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6A7EDB47" w14:textId="16AF6795">
          <w:pPr>
            <w:pStyle w:val="TOC1"/>
            <w:rPr>
              <w:rFonts w:asciiTheme="minorHAnsi" w:hAnsiTheme="minorHAnsi" w:cstheme="minorBidi"/>
              <w:noProof/>
              <w:kern w:val="2"/>
              <w:sz w:val="24"/>
              <w:szCs w:val="24"/>
              <w:lang w:val="en-GB" w:eastAsia="en-GB"/>
              <w14:ligatures w14:val="standardContextual"/>
            </w:rPr>
          </w:pPr>
          <w:hyperlink w:history="1" w:anchor="_Toc173339504">
            <w:r w:rsidRPr="001A48E5" w:rsidR="007D2DBD">
              <w:rPr>
                <w:rStyle w:val="Hyperlink"/>
                <w:noProof/>
              </w:rPr>
              <w:t>ADMISSION</w:t>
            </w:r>
            <w:r w:rsidR="007D2DBD">
              <w:rPr>
                <w:noProof/>
                <w:webHidden/>
              </w:rPr>
              <w:tab/>
            </w:r>
            <w:r w:rsidR="007D2DBD">
              <w:rPr>
                <w:noProof/>
                <w:webHidden/>
              </w:rPr>
              <w:fldChar w:fldCharType="begin"/>
            </w:r>
            <w:r w:rsidR="007D2DBD">
              <w:rPr>
                <w:noProof/>
                <w:webHidden/>
              </w:rPr>
              <w:instrText xml:space="preserve"> PAGEREF _Toc173339504 \h </w:instrText>
            </w:r>
            <w:r w:rsidR="007D2DBD">
              <w:rPr>
                <w:noProof/>
                <w:webHidden/>
              </w:rPr>
            </w:r>
            <w:r w:rsidR="007D2DBD">
              <w:rPr>
                <w:noProof/>
                <w:webHidden/>
              </w:rPr>
              <w:fldChar w:fldCharType="separate"/>
            </w:r>
            <w:r w:rsidR="007D2DBD">
              <w:rPr>
                <w:noProof/>
                <w:webHidden/>
              </w:rPr>
              <w:t>7</w:t>
            </w:r>
            <w:r w:rsidR="007D2DBD">
              <w:rPr>
                <w:noProof/>
                <w:webHidden/>
              </w:rPr>
              <w:fldChar w:fldCharType="end"/>
            </w:r>
          </w:hyperlink>
        </w:p>
        <w:p w:rsidR="007D2DBD" w:rsidRDefault="006C3E4E" w14:paraId="1FAF30AD" w14:textId="7FFB9A81">
          <w:pPr>
            <w:pStyle w:val="TOC1"/>
            <w:rPr>
              <w:rFonts w:asciiTheme="minorHAnsi" w:hAnsiTheme="minorHAnsi" w:cstheme="minorBidi"/>
              <w:noProof/>
              <w:kern w:val="2"/>
              <w:sz w:val="24"/>
              <w:szCs w:val="24"/>
              <w:lang w:val="en-GB" w:eastAsia="en-GB"/>
              <w14:ligatures w14:val="standardContextual"/>
            </w:rPr>
          </w:pPr>
          <w:hyperlink w:history="1" w:anchor="_Toc173339505">
            <w:r w:rsidRPr="001A48E5" w:rsidR="007D2DBD">
              <w:rPr>
                <w:rStyle w:val="Hyperlink"/>
                <w:noProof/>
              </w:rPr>
              <w:t>9</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Admission to a Programme</w:t>
            </w:r>
            <w:r w:rsidR="007D2DBD">
              <w:rPr>
                <w:noProof/>
                <w:webHidden/>
              </w:rPr>
              <w:tab/>
            </w:r>
            <w:r w:rsidR="007D2DBD">
              <w:rPr>
                <w:noProof/>
                <w:webHidden/>
              </w:rPr>
              <w:fldChar w:fldCharType="begin"/>
            </w:r>
            <w:r w:rsidR="007D2DBD">
              <w:rPr>
                <w:noProof/>
                <w:webHidden/>
              </w:rPr>
              <w:instrText xml:space="preserve"> PAGEREF _Toc173339505 \h </w:instrText>
            </w:r>
            <w:r w:rsidR="007D2DBD">
              <w:rPr>
                <w:noProof/>
                <w:webHidden/>
              </w:rPr>
            </w:r>
            <w:r w:rsidR="007D2DBD">
              <w:rPr>
                <w:noProof/>
                <w:webHidden/>
              </w:rPr>
              <w:fldChar w:fldCharType="separate"/>
            </w:r>
            <w:r w:rsidR="007D2DBD">
              <w:rPr>
                <w:noProof/>
                <w:webHidden/>
              </w:rPr>
              <w:t>7</w:t>
            </w:r>
            <w:r w:rsidR="007D2DBD">
              <w:rPr>
                <w:noProof/>
                <w:webHidden/>
              </w:rPr>
              <w:fldChar w:fldCharType="end"/>
            </w:r>
          </w:hyperlink>
        </w:p>
        <w:p w:rsidR="007D2DBD" w:rsidRDefault="006C3E4E" w14:paraId="1EEB1652" w14:textId="3298BFEF">
          <w:pPr>
            <w:pStyle w:val="TOC1"/>
            <w:rPr>
              <w:rFonts w:asciiTheme="minorHAnsi" w:hAnsiTheme="minorHAnsi" w:cstheme="minorBidi"/>
              <w:noProof/>
              <w:kern w:val="2"/>
              <w:sz w:val="24"/>
              <w:szCs w:val="24"/>
              <w:lang w:val="en-GB" w:eastAsia="en-GB"/>
              <w14:ligatures w14:val="standardContextual"/>
            </w:rPr>
          </w:pPr>
          <w:hyperlink w:history="1" w:anchor="_Toc173339506">
            <w:r w:rsidRPr="001A48E5" w:rsidR="007D2DBD">
              <w:rPr>
                <w:rStyle w:val="Hyperlink"/>
                <w:noProof/>
              </w:rPr>
              <w:t>10</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Recognition of Prior Learning</w:t>
            </w:r>
            <w:r w:rsidR="007D2DBD">
              <w:rPr>
                <w:noProof/>
                <w:webHidden/>
              </w:rPr>
              <w:tab/>
            </w:r>
            <w:r w:rsidR="007D2DBD">
              <w:rPr>
                <w:noProof/>
                <w:webHidden/>
              </w:rPr>
              <w:fldChar w:fldCharType="begin"/>
            </w:r>
            <w:r w:rsidR="007D2DBD">
              <w:rPr>
                <w:noProof/>
                <w:webHidden/>
              </w:rPr>
              <w:instrText xml:space="preserve"> PAGEREF _Toc173339506 \h </w:instrText>
            </w:r>
            <w:r w:rsidR="007D2DBD">
              <w:rPr>
                <w:noProof/>
                <w:webHidden/>
              </w:rPr>
            </w:r>
            <w:r w:rsidR="007D2DBD">
              <w:rPr>
                <w:noProof/>
                <w:webHidden/>
              </w:rPr>
              <w:fldChar w:fldCharType="separate"/>
            </w:r>
            <w:r w:rsidR="007D2DBD">
              <w:rPr>
                <w:noProof/>
                <w:webHidden/>
              </w:rPr>
              <w:t>7</w:t>
            </w:r>
            <w:r w:rsidR="007D2DBD">
              <w:rPr>
                <w:noProof/>
                <w:webHidden/>
              </w:rPr>
              <w:fldChar w:fldCharType="end"/>
            </w:r>
          </w:hyperlink>
        </w:p>
        <w:p w:rsidR="007D2DBD" w:rsidRDefault="006C3E4E" w14:paraId="3BC4077B" w14:textId="5C302C53">
          <w:pPr>
            <w:pStyle w:val="TOC1"/>
            <w:rPr>
              <w:rFonts w:asciiTheme="minorHAnsi" w:hAnsiTheme="minorHAnsi" w:cstheme="minorBidi"/>
              <w:noProof/>
              <w:kern w:val="2"/>
              <w:sz w:val="24"/>
              <w:szCs w:val="24"/>
              <w:lang w:val="en-GB" w:eastAsia="en-GB"/>
              <w14:ligatures w14:val="standardContextual"/>
            </w:rPr>
          </w:pPr>
          <w:hyperlink w:history="1" w:anchor="_Toc173339507">
            <w:r w:rsidRPr="001A48E5" w:rsidR="007D2DBD">
              <w:rPr>
                <w:rStyle w:val="Hyperlink"/>
                <w:noProof/>
              </w:rPr>
              <w:t>ENROLMENT FOR PROGRAMMES AND MODULES</w:t>
            </w:r>
            <w:r w:rsidR="007D2DBD">
              <w:rPr>
                <w:noProof/>
                <w:webHidden/>
              </w:rPr>
              <w:tab/>
            </w:r>
            <w:r w:rsidR="007D2DBD">
              <w:rPr>
                <w:noProof/>
                <w:webHidden/>
              </w:rPr>
              <w:fldChar w:fldCharType="begin"/>
            </w:r>
            <w:r w:rsidR="007D2DBD">
              <w:rPr>
                <w:noProof/>
                <w:webHidden/>
              </w:rPr>
              <w:instrText xml:space="preserve"> PAGEREF _Toc173339507 \h </w:instrText>
            </w:r>
            <w:r w:rsidR="007D2DBD">
              <w:rPr>
                <w:noProof/>
                <w:webHidden/>
              </w:rPr>
            </w:r>
            <w:r w:rsidR="007D2DBD">
              <w:rPr>
                <w:noProof/>
                <w:webHidden/>
              </w:rPr>
              <w:fldChar w:fldCharType="separate"/>
            </w:r>
            <w:r w:rsidR="007D2DBD">
              <w:rPr>
                <w:noProof/>
                <w:webHidden/>
              </w:rPr>
              <w:t>8</w:t>
            </w:r>
            <w:r w:rsidR="007D2DBD">
              <w:rPr>
                <w:noProof/>
                <w:webHidden/>
              </w:rPr>
              <w:fldChar w:fldCharType="end"/>
            </w:r>
          </w:hyperlink>
        </w:p>
        <w:p w:rsidR="007D2DBD" w:rsidRDefault="006C3E4E" w14:paraId="6A5FBC4B" w14:textId="458A312E">
          <w:pPr>
            <w:pStyle w:val="TOC1"/>
            <w:rPr>
              <w:rFonts w:asciiTheme="minorHAnsi" w:hAnsiTheme="minorHAnsi" w:cstheme="minorBidi"/>
              <w:noProof/>
              <w:kern w:val="2"/>
              <w:sz w:val="24"/>
              <w:szCs w:val="24"/>
              <w:lang w:val="en-GB" w:eastAsia="en-GB"/>
              <w14:ligatures w14:val="standardContextual"/>
            </w:rPr>
          </w:pPr>
          <w:hyperlink w:history="1" w:anchor="_Toc173339508">
            <w:r w:rsidRPr="001A48E5" w:rsidR="007D2DBD">
              <w:rPr>
                <w:rStyle w:val="Hyperlink"/>
                <w:noProof/>
              </w:rPr>
              <w:t>11</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Programme of study requirements</w:t>
            </w:r>
            <w:r w:rsidR="007D2DBD">
              <w:rPr>
                <w:noProof/>
                <w:webHidden/>
              </w:rPr>
              <w:tab/>
            </w:r>
            <w:r w:rsidR="007D2DBD">
              <w:rPr>
                <w:noProof/>
                <w:webHidden/>
              </w:rPr>
              <w:fldChar w:fldCharType="begin"/>
            </w:r>
            <w:r w:rsidR="007D2DBD">
              <w:rPr>
                <w:noProof/>
                <w:webHidden/>
              </w:rPr>
              <w:instrText xml:space="preserve"> PAGEREF _Toc173339508 \h </w:instrText>
            </w:r>
            <w:r w:rsidR="007D2DBD">
              <w:rPr>
                <w:noProof/>
                <w:webHidden/>
              </w:rPr>
            </w:r>
            <w:r w:rsidR="007D2DBD">
              <w:rPr>
                <w:noProof/>
                <w:webHidden/>
              </w:rPr>
              <w:fldChar w:fldCharType="separate"/>
            </w:r>
            <w:r w:rsidR="007D2DBD">
              <w:rPr>
                <w:noProof/>
                <w:webHidden/>
              </w:rPr>
              <w:t>8</w:t>
            </w:r>
            <w:r w:rsidR="007D2DBD">
              <w:rPr>
                <w:noProof/>
                <w:webHidden/>
              </w:rPr>
              <w:fldChar w:fldCharType="end"/>
            </w:r>
          </w:hyperlink>
        </w:p>
        <w:p w:rsidR="007D2DBD" w:rsidRDefault="006C3E4E" w14:paraId="75C77571" w14:textId="13D955CF">
          <w:pPr>
            <w:pStyle w:val="TOC1"/>
            <w:rPr>
              <w:rFonts w:asciiTheme="minorHAnsi" w:hAnsiTheme="minorHAnsi" w:cstheme="minorBidi"/>
              <w:noProof/>
              <w:kern w:val="2"/>
              <w:sz w:val="24"/>
              <w:szCs w:val="24"/>
              <w:lang w:val="en-GB" w:eastAsia="en-GB"/>
              <w14:ligatures w14:val="standardContextual"/>
            </w:rPr>
          </w:pPr>
          <w:hyperlink w:history="1" w:anchor="_Toc173339509">
            <w:r w:rsidRPr="001A48E5" w:rsidR="007D2DBD">
              <w:rPr>
                <w:rStyle w:val="Hyperlink"/>
                <w:noProof/>
              </w:rPr>
              <w:t>SUSPENSION OF STUDY AND REPEAT PERIODS</w:t>
            </w:r>
            <w:r w:rsidR="007D2DBD">
              <w:rPr>
                <w:noProof/>
                <w:webHidden/>
              </w:rPr>
              <w:tab/>
            </w:r>
            <w:r w:rsidR="007D2DBD">
              <w:rPr>
                <w:noProof/>
                <w:webHidden/>
              </w:rPr>
              <w:fldChar w:fldCharType="begin"/>
            </w:r>
            <w:r w:rsidR="007D2DBD">
              <w:rPr>
                <w:noProof/>
                <w:webHidden/>
              </w:rPr>
              <w:instrText xml:space="preserve"> PAGEREF _Toc173339509 \h </w:instrText>
            </w:r>
            <w:r w:rsidR="007D2DBD">
              <w:rPr>
                <w:noProof/>
                <w:webHidden/>
              </w:rPr>
            </w:r>
            <w:r w:rsidR="007D2DBD">
              <w:rPr>
                <w:noProof/>
                <w:webHidden/>
              </w:rPr>
              <w:fldChar w:fldCharType="separate"/>
            </w:r>
            <w:r w:rsidR="007D2DBD">
              <w:rPr>
                <w:noProof/>
                <w:webHidden/>
              </w:rPr>
              <w:t>8</w:t>
            </w:r>
            <w:r w:rsidR="007D2DBD">
              <w:rPr>
                <w:noProof/>
                <w:webHidden/>
              </w:rPr>
              <w:fldChar w:fldCharType="end"/>
            </w:r>
          </w:hyperlink>
        </w:p>
        <w:p w:rsidR="007D2DBD" w:rsidRDefault="006C3E4E" w14:paraId="7FF154FA" w14:textId="690CA0C0">
          <w:pPr>
            <w:pStyle w:val="TOC1"/>
            <w:rPr>
              <w:rFonts w:asciiTheme="minorHAnsi" w:hAnsiTheme="minorHAnsi" w:cstheme="minorBidi"/>
              <w:noProof/>
              <w:kern w:val="2"/>
              <w:sz w:val="24"/>
              <w:szCs w:val="24"/>
              <w:lang w:val="en-GB" w:eastAsia="en-GB"/>
              <w14:ligatures w14:val="standardContextual"/>
            </w:rPr>
          </w:pPr>
          <w:hyperlink w:history="1" w:anchor="_Toc173339510">
            <w:r w:rsidRPr="001A48E5" w:rsidR="007D2DBD">
              <w:rPr>
                <w:rStyle w:val="Hyperlink"/>
                <w:noProof/>
              </w:rPr>
              <w:t>12</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Permitted duration for the accumulation of credits</w:t>
            </w:r>
            <w:r w:rsidR="007D2DBD">
              <w:rPr>
                <w:noProof/>
                <w:webHidden/>
              </w:rPr>
              <w:tab/>
            </w:r>
            <w:r w:rsidR="007D2DBD">
              <w:rPr>
                <w:noProof/>
                <w:webHidden/>
              </w:rPr>
              <w:fldChar w:fldCharType="begin"/>
            </w:r>
            <w:r w:rsidR="007D2DBD">
              <w:rPr>
                <w:noProof/>
                <w:webHidden/>
              </w:rPr>
              <w:instrText xml:space="preserve"> PAGEREF _Toc173339510 \h </w:instrText>
            </w:r>
            <w:r w:rsidR="007D2DBD">
              <w:rPr>
                <w:noProof/>
                <w:webHidden/>
              </w:rPr>
            </w:r>
            <w:r w:rsidR="007D2DBD">
              <w:rPr>
                <w:noProof/>
                <w:webHidden/>
              </w:rPr>
              <w:fldChar w:fldCharType="separate"/>
            </w:r>
            <w:r w:rsidR="007D2DBD">
              <w:rPr>
                <w:noProof/>
                <w:webHidden/>
              </w:rPr>
              <w:t>8</w:t>
            </w:r>
            <w:r w:rsidR="007D2DBD">
              <w:rPr>
                <w:noProof/>
                <w:webHidden/>
              </w:rPr>
              <w:fldChar w:fldCharType="end"/>
            </w:r>
          </w:hyperlink>
        </w:p>
        <w:p w:rsidR="007D2DBD" w:rsidRDefault="006C3E4E" w14:paraId="6855EE6F" w14:textId="4A8C9AA0">
          <w:pPr>
            <w:pStyle w:val="TOC1"/>
            <w:rPr>
              <w:rFonts w:asciiTheme="minorHAnsi" w:hAnsiTheme="minorHAnsi" w:cstheme="minorBidi"/>
              <w:noProof/>
              <w:kern w:val="2"/>
              <w:sz w:val="24"/>
              <w:szCs w:val="24"/>
              <w:lang w:val="en-GB" w:eastAsia="en-GB"/>
              <w14:ligatures w14:val="standardContextual"/>
            </w:rPr>
          </w:pPr>
          <w:hyperlink w:history="1" w:anchor="_Toc173339511">
            <w:r w:rsidRPr="001A48E5" w:rsidR="007D2DBD">
              <w:rPr>
                <w:rStyle w:val="Hyperlink"/>
                <w:noProof/>
              </w:rPr>
              <w:t>13</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Suspension of study</w:t>
            </w:r>
            <w:r w:rsidR="007D2DBD">
              <w:rPr>
                <w:noProof/>
                <w:webHidden/>
              </w:rPr>
              <w:tab/>
            </w:r>
            <w:r w:rsidR="007D2DBD">
              <w:rPr>
                <w:noProof/>
                <w:webHidden/>
              </w:rPr>
              <w:fldChar w:fldCharType="begin"/>
            </w:r>
            <w:r w:rsidR="007D2DBD">
              <w:rPr>
                <w:noProof/>
                <w:webHidden/>
              </w:rPr>
              <w:instrText xml:space="preserve"> PAGEREF _Toc173339511 \h </w:instrText>
            </w:r>
            <w:r w:rsidR="007D2DBD">
              <w:rPr>
                <w:noProof/>
                <w:webHidden/>
              </w:rPr>
            </w:r>
            <w:r w:rsidR="007D2DBD">
              <w:rPr>
                <w:noProof/>
                <w:webHidden/>
              </w:rPr>
              <w:fldChar w:fldCharType="separate"/>
            </w:r>
            <w:r w:rsidR="007D2DBD">
              <w:rPr>
                <w:noProof/>
                <w:webHidden/>
              </w:rPr>
              <w:t>8</w:t>
            </w:r>
            <w:r w:rsidR="007D2DBD">
              <w:rPr>
                <w:noProof/>
                <w:webHidden/>
              </w:rPr>
              <w:fldChar w:fldCharType="end"/>
            </w:r>
          </w:hyperlink>
        </w:p>
        <w:p w:rsidR="007D2DBD" w:rsidRDefault="006C3E4E" w14:paraId="43A8FCA7" w14:textId="2CAA2BB5">
          <w:pPr>
            <w:pStyle w:val="TOC1"/>
            <w:rPr>
              <w:rFonts w:asciiTheme="minorHAnsi" w:hAnsiTheme="minorHAnsi" w:cstheme="minorBidi"/>
              <w:noProof/>
              <w:kern w:val="2"/>
              <w:sz w:val="24"/>
              <w:szCs w:val="24"/>
              <w:lang w:val="en-GB" w:eastAsia="en-GB"/>
              <w14:ligatures w14:val="standardContextual"/>
            </w:rPr>
          </w:pPr>
          <w:hyperlink w:history="1" w:anchor="_Toc173339512">
            <w:r w:rsidRPr="001A48E5" w:rsidR="007D2DBD">
              <w:rPr>
                <w:rStyle w:val="Hyperlink"/>
                <w:noProof/>
              </w:rPr>
              <w:t>14</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Suspension of study on grounds of risk</w:t>
            </w:r>
            <w:r w:rsidR="007D2DBD">
              <w:rPr>
                <w:noProof/>
                <w:webHidden/>
              </w:rPr>
              <w:tab/>
            </w:r>
            <w:r w:rsidR="007D2DBD">
              <w:rPr>
                <w:noProof/>
                <w:webHidden/>
              </w:rPr>
              <w:fldChar w:fldCharType="begin"/>
            </w:r>
            <w:r w:rsidR="007D2DBD">
              <w:rPr>
                <w:noProof/>
                <w:webHidden/>
              </w:rPr>
              <w:instrText xml:space="preserve"> PAGEREF _Toc173339512 \h </w:instrText>
            </w:r>
            <w:r w:rsidR="007D2DBD">
              <w:rPr>
                <w:noProof/>
                <w:webHidden/>
              </w:rPr>
            </w:r>
            <w:r w:rsidR="007D2DBD">
              <w:rPr>
                <w:noProof/>
                <w:webHidden/>
              </w:rPr>
              <w:fldChar w:fldCharType="separate"/>
            </w:r>
            <w:r w:rsidR="007D2DBD">
              <w:rPr>
                <w:noProof/>
                <w:webHidden/>
              </w:rPr>
              <w:t>9</w:t>
            </w:r>
            <w:r w:rsidR="007D2DBD">
              <w:rPr>
                <w:noProof/>
                <w:webHidden/>
              </w:rPr>
              <w:fldChar w:fldCharType="end"/>
            </w:r>
          </w:hyperlink>
        </w:p>
        <w:p w:rsidR="007D2DBD" w:rsidRDefault="006C3E4E" w14:paraId="44F174D3" w14:textId="6EF30F9D">
          <w:pPr>
            <w:pStyle w:val="TOC1"/>
            <w:rPr>
              <w:rFonts w:asciiTheme="minorHAnsi" w:hAnsiTheme="minorHAnsi" w:cstheme="minorBidi"/>
              <w:noProof/>
              <w:kern w:val="2"/>
              <w:sz w:val="24"/>
              <w:szCs w:val="24"/>
              <w:lang w:val="en-GB" w:eastAsia="en-GB"/>
              <w14:ligatures w14:val="standardContextual"/>
            </w:rPr>
          </w:pPr>
          <w:hyperlink w:history="1" w:anchor="_Toc173339513">
            <w:r w:rsidRPr="001A48E5" w:rsidR="007D2DBD">
              <w:rPr>
                <w:rStyle w:val="Hyperlink"/>
                <w:noProof/>
              </w:rPr>
              <w:t>15</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Repeating a level/year</w:t>
            </w:r>
            <w:r w:rsidR="007D2DBD">
              <w:rPr>
                <w:noProof/>
                <w:webHidden/>
              </w:rPr>
              <w:tab/>
            </w:r>
            <w:r w:rsidR="007D2DBD">
              <w:rPr>
                <w:noProof/>
                <w:webHidden/>
              </w:rPr>
              <w:fldChar w:fldCharType="begin"/>
            </w:r>
            <w:r w:rsidR="007D2DBD">
              <w:rPr>
                <w:noProof/>
                <w:webHidden/>
              </w:rPr>
              <w:instrText xml:space="preserve"> PAGEREF _Toc173339513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7E1B9A8A" w14:textId="0B11AB91">
          <w:pPr>
            <w:pStyle w:val="TOC1"/>
            <w:rPr>
              <w:rFonts w:asciiTheme="minorHAnsi" w:hAnsiTheme="minorHAnsi" w:cstheme="minorBidi"/>
              <w:noProof/>
              <w:kern w:val="2"/>
              <w:sz w:val="24"/>
              <w:szCs w:val="24"/>
              <w:lang w:val="en-GB" w:eastAsia="en-GB"/>
              <w14:ligatures w14:val="standardContextual"/>
            </w:rPr>
          </w:pPr>
          <w:hyperlink w:history="1" w:anchor="_Toc173339514">
            <w:r w:rsidRPr="001A48E5" w:rsidR="007D2DBD">
              <w:rPr>
                <w:rStyle w:val="Hyperlink"/>
                <w:noProof/>
              </w:rPr>
              <w:t>16</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Interim awards following withdrawal</w:t>
            </w:r>
            <w:r w:rsidR="007D2DBD">
              <w:rPr>
                <w:noProof/>
                <w:webHidden/>
              </w:rPr>
              <w:tab/>
            </w:r>
            <w:r w:rsidR="007D2DBD">
              <w:rPr>
                <w:noProof/>
                <w:webHidden/>
              </w:rPr>
              <w:fldChar w:fldCharType="begin"/>
            </w:r>
            <w:r w:rsidR="007D2DBD">
              <w:rPr>
                <w:noProof/>
                <w:webHidden/>
              </w:rPr>
              <w:instrText xml:space="preserve"> PAGEREF _Toc173339514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0404A2D0" w14:textId="0F23E23A">
          <w:pPr>
            <w:pStyle w:val="TOC1"/>
            <w:rPr>
              <w:rFonts w:asciiTheme="minorHAnsi" w:hAnsiTheme="minorHAnsi" w:cstheme="minorBidi"/>
              <w:noProof/>
              <w:kern w:val="2"/>
              <w:sz w:val="24"/>
              <w:szCs w:val="24"/>
              <w:lang w:val="en-GB" w:eastAsia="en-GB"/>
              <w14:ligatures w14:val="standardContextual"/>
            </w:rPr>
          </w:pPr>
          <w:hyperlink w:history="1" w:anchor="_Toc173339515">
            <w:r w:rsidRPr="001A48E5" w:rsidR="007D2DBD">
              <w:rPr>
                <w:rStyle w:val="Hyperlink"/>
                <w:noProof/>
              </w:rPr>
              <w:t>ASSESSMENT</w:t>
            </w:r>
            <w:r w:rsidR="007D2DBD">
              <w:rPr>
                <w:noProof/>
                <w:webHidden/>
              </w:rPr>
              <w:tab/>
            </w:r>
            <w:r w:rsidR="007D2DBD">
              <w:rPr>
                <w:noProof/>
                <w:webHidden/>
              </w:rPr>
              <w:fldChar w:fldCharType="begin"/>
            </w:r>
            <w:r w:rsidR="007D2DBD">
              <w:rPr>
                <w:noProof/>
                <w:webHidden/>
              </w:rPr>
              <w:instrText xml:space="preserve"> PAGEREF _Toc173339515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40E6B0A6" w14:textId="0C2E4994">
          <w:pPr>
            <w:pStyle w:val="TOC1"/>
            <w:rPr>
              <w:rFonts w:asciiTheme="minorHAnsi" w:hAnsiTheme="minorHAnsi" w:cstheme="minorBidi"/>
              <w:noProof/>
              <w:kern w:val="2"/>
              <w:sz w:val="24"/>
              <w:szCs w:val="24"/>
              <w:lang w:val="en-GB" w:eastAsia="en-GB"/>
              <w14:ligatures w14:val="standardContextual"/>
            </w:rPr>
          </w:pPr>
          <w:hyperlink w:history="1" w:anchor="_Toc173339516">
            <w:r w:rsidRPr="001A48E5" w:rsidR="007D2DBD">
              <w:rPr>
                <w:rStyle w:val="Hyperlink"/>
                <w:noProof/>
              </w:rPr>
              <w:t>17</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Awarding Credit</w:t>
            </w:r>
            <w:r w:rsidR="007D2DBD">
              <w:rPr>
                <w:noProof/>
                <w:webHidden/>
              </w:rPr>
              <w:tab/>
            </w:r>
            <w:r w:rsidR="007D2DBD">
              <w:rPr>
                <w:noProof/>
                <w:webHidden/>
              </w:rPr>
              <w:fldChar w:fldCharType="begin"/>
            </w:r>
            <w:r w:rsidR="007D2DBD">
              <w:rPr>
                <w:noProof/>
                <w:webHidden/>
              </w:rPr>
              <w:instrText xml:space="preserve"> PAGEREF _Toc173339516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6D1394C9" w14:textId="056DBB4B">
          <w:pPr>
            <w:pStyle w:val="TOC1"/>
            <w:rPr>
              <w:rFonts w:asciiTheme="minorHAnsi" w:hAnsiTheme="minorHAnsi" w:cstheme="minorBidi"/>
              <w:noProof/>
              <w:kern w:val="2"/>
              <w:sz w:val="24"/>
              <w:szCs w:val="24"/>
              <w:lang w:val="en-GB" w:eastAsia="en-GB"/>
              <w14:ligatures w14:val="standardContextual"/>
            </w:rPr>
          </w:pPr>
          <w:hyperlink w:history="1" w:anchor="_Toc173339517">
            <w:r w:rsidRPr="001A48E5" w:rsidR="007D2DBD">
              <w:rPr>
                <w:rStyle w:val="Hyperlink"/>
                <w:noProof/>
              </w:rPr>
              <w:t>18</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Written examinations</w:t>
            </w:r>
            <w:r w:rsidR="007D2DBD">
              <w:rPr>
                <w:noProof/>
                <w:webHidden/>
              </w:rPr>
              <w:tab/>
            </w:r>
            <w:r w:rsidR="007D2DBD">
              <w:rPr>
                <w:noProof/>
                <w:webHidden/>
              </w:rPr>
              <w:fldChar w:fldCharType="begin"/>
            </w:r>
            <w:r w:rsidR="007D2DBD">
              <w:rPr>
                <w:noProof/>
                <w:webHidden/>
              </w:rPr>
              <w:instrText xml:space="preserve"> PAGEREF _Toc173339517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233FE3F9" w14:textId="309D55C1">
          <w:pPr>
            <w:pStyle w:val="TOC1"/>
            <w:rPr>
              <w:rFonts w:asciiTheme="minorHAnsi" w:hAnsiTheme="minorHAnsi" w:cstheme="minorBidi"/>
              <w:noProof/>
              <w:kern w:val="2"/>
              <w:sz w:val="24"/>
              <w:szCs w:val="24"/>
              <w:lang w:val="en-GB" w:eastAsia="en-GB"/>
              <w14:ligatures w14:val="standardContextual"/>
            </w:rPr>
          </w:pPr>
          <w:hyperlink w:history="1" w:anchor="_Toc173339518">
            <w:r w:rsidRPr="001A48E5" w:rsidR="007D2DBD">
              <w:rPr>
                <w:rStyle w:val="Hyperlink"/>
                <w:noProof/>
              </w:rPr>
              <w:t>19</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Non-attendance/submission</w:t>
            </w:r>
            <w:r w:rsidR="007D2DBD">
              <w:rPr>
                <w:noProof/>
                <w:webHidden/>
              </w:rPr>
              <w:tab/>
            </w:r>
            <w:r w:rsidR="007D2DBD">
              <w:rPr>
                <w:noProof/>
                <w:webHidden/>
              </w:rPr>
              <w:fldChar w:fldCharType="begin"/>
            </w:r>
            <w:r w:rsidR="007D2DBD">
              <w:rPr>
                <w:noProof/>
                <w:webHidden/>
              </w:rPr>
              <w:instrText xml:space="preserve"> PAGEREF _Toc173339518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65199229" w14:textId="44AD6388">
          <w:pPr>
            <w:pStyle w:val="TOC1"/>
            <w:rPr>
              <w:rFonts w:asciiTheme="minorHAnsi" w:hAnsiTheme="minorHAnsi" w:cstheme="minorBidi"/>
              <w:noProof/>
              <w:kern w:val="2"/>
              <w:sz w:val="24"/>
              <w:szCs w:val="24"/>
              <w:lang w:val="en-GB" w:eastAsia="en-GB"/>
              <w14:ligatures w14:val="standardContextual"/>
            </w:rPr>
          </w:pPr>
          <w:hyperlink w:history="1" w:anchor="_Toc173339519">
            <w:r w:rsidRPr="001A48E5" w:rsidR="007D2DBD">
              <w:rPr>
                <w:rStyle w:val="Hyperlink"/>
                <w:noProof/>
              </w:rPr>
              <w:t>20</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Module marks</w:t>
            </w:r>
            <w:r w:rsidR="007D2DBD">
              <w:rPr>
                <w:noProof/>
                <w:webHidden/>
              </w:rPr>
              <w:tab/>
            </w:r>
            <w:r w:rsidR="007D2DBD">
              <w:rPr>
                <w:noProof/>
                <w:webHidden/>
              </w:rPr>
              <w:fldChar w:fldCharType="begin"/>
            </w:r>
            <w:r w:rsidR="007D2DBD">
              <w:rPr>
                <w:noProof/>
                <w:webHidden/>
              </w:rPr>
              <w:instrText xml:space="preserve"> PAGEREF _Toc173339519 \h </w:instrText>
            </w:r>
            <w:r w:rsidR="007D2DBD">
              <w:rPr>
                <w:noProof/>
                <w:webHidden/>
              </w:rPr>
            </w:r>
            <w:r w:rsidR="007D2DBD">
              <w:rPr>
                <w:noProof/>
                <w:webHidden/>
              </w:rPr>
              <w:fldChar w:fldCharType="separate"/>
            </w:r>
            <w:r w:rsidR="007D2DBD">
              <w:rPr>
                <w:noProof/>
                <w:webHidden/>
              </w:rPr>
              <w:t>11</w:t>
            </w:r>
            <w:r w:rsidR="007D2DBD">
              <w:rPr>
                <w:noProof/>
                <w:webHidden/>
              </w:rPr>
              <w:fldChar w:fldCharType="end"/>
            </w:r>
          </w:hyperlink>
        </w:p>
        <w:p w:rsidR="007D2DBD" w:rsidRDefault="006C3E4E" w14:paraId="21090C68" w14:textId="04334B78">
          <w:pPr>
            <w:pStyle w:val="TOC1"/>
            <w:rPr>
              <w:rFonts w:asciiTheme="minorHAnsi" w:hAnsiTheme="minorHAnsi" w:cstheme="minorBidi"/>
              <w:noProof/>
              <w:kern w:val="2"/>
              <w:sz w:val="24"/>
              <w:szCs w:val="24"/>
              <w:lang w:val="en-GB" w:eastAsia="en-GB"/>
              <w14:ligatures w14:val="standardContextual"/>
            </w:rPr>
          </w:pPr>
          <w:hyperlink w:history="1" w:anchor="_Toc173339520">
            <w:r w:rsidRPr="001A48E5" w:rsidR="007D2DBD">
              <w:rPr>
                <w:rStyle w:val="Hyperlink"/>
                <w:noProof/>
              </w:rPr>
              <w:t>21</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Reassessment</w:t>
            </w:r>
            <w:r w:rsidR="007D2DBD">
              <w:rPr>
                <w:noProof/>
                <w:webHidden/>
              </w:rPr>
              <w:tab/>
            </w:r>
            <w:r w:rsidR="007D2DBD">
              <w:rPr>
                <w:noProof/>
                <w:webHidden/>
              </w:rPr>
              <w:fldChar w:fldCharType="begin"/>
            </w:r>
            <w:r w:rsidR="007D2DBD">
              <w:rPr>
                <w:noProof/>
                <w:webHidden/>
              </w:rPr>
              <w:instrText xml:space="preserve"> PAGEREF _Toc173339520 \h </w:instrText>
            </w:r>
            <w:r w:rsidR="007D2DBD">
              <w:rPr>
                <w:noProof/>
                <w:webHidden/>
              </w:rPr>
            </w:r>
            <w:r w:rsidR="007D2DBD">
              <w:rPr>
                <w:noProof/>
                <w:webHidden/>
              </w:rPr>
              <w:fldChar w:fldCharType="separate"/>
            </w:r>
            <w:r w:rsidR="007D2DBD">
              <w:rPr>
                <w:noProof/>
                <w:webHidden/>
              </w:rPr>
              <w:t>11</w:t>
            </w:r>
            <w:r w:rsidR="007D2DBD">
              <w:rPr>
                <w:noProof/>
                <w:webHidden/>
              </w:rPr>
              <w:fldChar w:fldCharType="end"/>
            </w:r>
          </w:hyperlink>
        </w:p>
        <w:p w:rsidR="007D2DBD" w:rsidRDefault="006C3E4E" w14:paraId="732DBFA1" w14:textId="07958E99">
          <w:pPr>
            <w:pStyle w:val="TOC1"/>
            <w:rPr>
              <w:rFonts w:asciiTheme="minorHAnsi" w:hAnsiTheme="minorHAnsi" w:cstheme="minorBidi"/>
              <w:noProof/>
              <w:kern w:val="2"/>
              <w:sz w:val="24"/>
              <w:szCs w:val="24"/>
              <w:lang w:val="en-GB" w:eastAsia="en-GB"/>
              <w14:ligatures w14:val="standardContextual"/>
            </w:rPr>
          </w:pPr>
          <w:hyperlink w:history="1" w:anchor="_Toc173339521">
            <w:r w:rsidRPr="001A48E5" w:rsidR="007D2DBD">
              <w:rPr>
                <w:rStyle w:val="Hyperlink"/>
                <w:noProof/>
              </w:rPr>
              <w:t>ACADEMIC/PROFESSIONAL DISCIPLINE</w:t>
            </w:r>
            <w:r w:rsidR="007D2DBD">
              <w:rPr>
                <w:noProof/>
                <w:webHidden/>
              </w:rPr>
              <w:tab/>
            </w:r>
            <w:r w:rsidR="007D2DBD">
              <w:rPr>
                <w:noProof/>
                <w:webHidden/>
              </w:rPr>
              <w:fldChar w:fldCharType="begin"/>
            </w:r>
            <w:r w:rsidR="007D2DBD">
              <w:rPr>
                <w:noProof/>
                <w:webHidden/>
              </w:rPr>
              <w:instrText xml:space="preserve"> PAGEREF _Toc173339521 \h </w:instrText>
            </w:r>
            <w:r w:rsidR="007D2DBD">
              <w:rPr>
                <w:noProof/>
                <w:webHidden/>
              </w:rPr>
            </w:r>
            <w:r w:rsidR="007D2DBD">
              <w:rPr>
                <w:noProof/>
                <w:webHidden/>
              </w:rPr>
              <w:fldChar w:fldCharType="separate"/>
            </w:r>
            <w:r w:rsidR="007D2DBD">
              <w:rPr>
                <w:noProof/>
                <w:webHidden/>
              </w:rPr>
              <w:t>11</w:t>
            </w:r>
            <w:r w:rsidR="007D2DBD">
              <w:rPr>
                <w:noProof/>
                <w:webHidden/>
              </w:rPr>
              <w:fldChar w:fldCharType="end"/>
            </w:r>
          </w:hyperlink>
        </w:p>
        <w:p w:rsidR="007D2DBD" w:rsidRDefault="006C3E4E" w14:paraId="3D1D7920" w14:textId="1867277E">
          <w:pPr>
            <w:pStyle w:val="TOC1"/>
            <w:rPr>
              <w:rFonts w:asciiTheme="minorHAnsi" w:hAnsiTheme="minorHAnsi" w:cstheme="minorBidi"/>
              <w:noProof/>
              <w:kern w:val="2"/>
              <w:sz w:val="24"/>
              <w:szCs w:val="24"/>
              <w:lang w:val="en-GB" w:eastAsia="en-GB"/>
              <w14:ligatures w14:val="standardContextual"/>
            </w:rPr>
          </w:pPr>
          <w:hyperlink w:history="1" w:anchor="_Toc173339522">
            <w:r w:rsidRPr="001A48E5" w:rsidR="007D2DBD">
              <w:rPr>
                <w:rStyle w:val="Hyperlink"/>
                <w:noProof/>
              </w:rPr>
              <w:t>22</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Academic Misconduct</w:t>
            </w:r>
            <w:r w:rsidR="007D2DBD">
              <w:rPr>
                <w:noProof/>
                <w:webHidden/>
              </w:rPr>
              <w:tab/>
            </w:r>
            <w:r w:rsidR="007D2DBD">
              <w:rPr>
                <w:noProof/>
                <w:webHidden/>
              </w:rPr>
              <w:fldChar w:fldCharType="begin"/>
            </w:r>
            <w:r w:rsidR="007D2DBD">
              <w:rPr>
                <w:noProof/>
                <w:webHidden/>
              </w:rPr>
              <w:instrText xml:space="preserve"> PAGEREF _Toc173339522 \h </w:instrText>
            </w:r>
            <w:r w:rsidR="007D2DBD">
              <w:rPr>
                <w:noProof/>
                <w:webHidden/>
              </w:rPr>
            </w:r>
            <w:r w:rsidR="007D2DBD">
              <w:rPr>
                <w:noProof/>
                <w:webHidden/>
              </w:rPr>
              <w:fldChar w:fldCharType="separate"/>
            </w:r>
            <w:r w:rsidR="007D2DBD">
              <w:rPr>
                <w:noProof/>
                <w:webHidden/>
              </w:rPr>
              <w:t>11</w:t>
            </w:r>
            <w:r w:rsidR="007D2DBD">
              <w:rPr>
                <w:noProof/>
                <w:webHidden/>
              </w:rPr>
              <w:fldChar w:fldCharType="end"/>
            </w:r>
          </w:hyperlink>
        </w:p>
        <w:p w:rsidR="007D2DBD" w:rsidRDefault="006C3E4E" w14:paraId="2EBCA15C" w14:textId="6847B24C">
          <w:pPr>
            <w:pStyle w:val="TOC1"/>
            <w:rPr>
              <w:rFonts w:asciiTheme="minorHAnsi" w:hAnsiTheme="minorHAnsi" w:cstheme="minorBidi"/>
              <w:noProof/>
              <w:kern w:val="2"/>
              <w:sz w:val="24"/>
              <w:szCs w:val="24"/>
              <w:lang w:val="en-GB" w:eastAsia="en-GB"/>
              <w14:ligatures w14:val="standardContextual"/>
            </w:rPr>
          </w:pPr>
          <w:hyperlink w:history="1" w:anchor="_Toc173339523">
            <w:r w:rsidRPr="001A48E5" w:rsidR="007D2DBD">
              <w:rPr>
                <w:rStyle w:val="Hyperlink"/>
                <w:noProof/>
              </w:rPr>
              <w:t>23</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Professional Standards of Conduct (Fitness to Practise)</w:t>
            </w:r>
            <w:r w:rsidR="007D2DBD">
              <w:rPr>
                <w:noProof/>
                <w:webHidden/>
              </w:rPr>
              <w:tab/>
            </w:r>
            <w:r w:rsidR="007D2DBD">
              <w:rPr>
                <w:noProof/>
                <w:webHidden/>
              </w:rPr>
              <w:fldChar w:fldCharType="begin"/>
            </w:r>
            <w:r w:rsidR="007D2DBD">
              <w:rPr>
                <w:noProof/>
                <w:webHidden/>
              </w:rPr>
              <w:instrText xml:space="preserve"> PAGEREF _Toc173339523 \h </w:instrText>
            </w:r>
            <w:r w:rsidR="007D2DBD">
              <w:rPr>
                <w:noProof/>
                <w:webHidden/>
              </w:rPr>
            </w:r>
            <w:r w:rsidR="007D2DBD">
              <w:rPr>
                <w:noProof/>
                <w:webHidden/>
              </w:rPr>
              <w:fldChar w:fldCharType="separate"/>
            </w:r>
            <w:r w:rsidR="007D2DBD">
              <w:rPr>
                <w:noProof/>
                <w:webHidden/>
              </w:rPr>
              <w:t>12</w:t>
            </w:r>
            <w:r w:rsidR="007D2DBD">
              <w:rPr>
                <w:noProof/>
                <w:webHidden/>
              </w:rPr>
              <w:fldChar w:fldCharType="end"/>
            </w:r>
          </w:hyperlink>
        </w:p>
        <w:p w:rsidR="007D2DBD" w:rsidRDefault="006C3E4E" w14:paraId="15870D02" w14:textId="5102CFFE">
          <w:pPr>
            <w:pStyle w:val="TOC1"/>
            <w:rPr>
              <w:rFonts w:asciiTheme="minorHAnsi" w:hAnsiTheme="minorHAnsi" w:cstheme="minorBidi"/>
              <w:noProof/>
              <w:kern w:val="2"/>
              <w:sz w:val="24"/>
              <w:szCs w:val="24"/>
              <w:lang w:val="en-GB" w:eastAsia="en-GB"/>
              <w14:ligatures w14:val="standardContextual"/>
            </w:rPr>
          </w:pPr>
          <w:hyperlink w:history="1" w:anchor="_Toc173339524">
            <w:r w:rsidRPr="001A48E5" w:rsidR="007D2DBD">
              <w:rPr>
                <w:rStyle w:val="Hyperlink"/>
                <w:noProof/>
              </w:rPr>
              <w:t>PROGRESSION</w:t>
            </w:r>
            <w:r w:rsidR="007D2DBD">
              <w:rPr>
                <w:noProof/>
                <w:webHidden/>
              </w:rPr>
              <w:tab/>
            </w:r>
            <w:r w:rsidR="007D2DBD">
              <w:rPr>
                <w:noProof/>
                <w:webHidden/>
              </w:rPr>
              <w:fldChar w:fldCharType="begin"/>
            </w:r>
            <w:r w:rsidR="007D2DBD">
              <w:rPr>
                <w:noProof/>
                <w:webHidden/>
              </w:rPr>
              <w:instrText xml:space="preserve"> PAGEREF _Toc173339524 \h </w:instrText>
            </w:r>
            <w:r w:rsidR="007D2DBD">
              <w:rPr>
                <w:noProof/>
                <w:webHidden/>
              </w:rPr>
            </w:r>
            <w:r w:rsidR="007D2DBD">
              <w:rPr>
                <w:noProof/>
                <w:webHidden/>
              </w:rPr>
              <w:fldChar w:fldCharType="separate"/>
            </w:r>
            <w:r w:rsidR="007D2DBD">
              <w:rPr>
                <w:noProof/>
                <w:webHidden/>
              </w:rPr>
              <w:t>12</w:t>
            </w:r>
            <w:r w:rsidR="007D2DBD">
              <w:rPr>
                <w:noProof/>
                <w:webHidden/>
              </w:rPr>
              <w:fldChar w:fldCharType="end"/>
            </w:r>
          </w:hyperlink>
        </w:p>
        <w:p w:rsidR="007D2DBD" w:rsidRDefault="006C3E4E" w14:paraId="790ABD3F" w14:textId="48888ABC">
          <w:pPr>
            <w:pStyle w:val="TOC1"/>
            <w:rPr>
              <w:rFonts w:asciiTheme="minorHAnsi" w:hAnsiTheme="minorHAnsi" w:cstheme="minorBidi"/>
              <w:noProof/>
              <w:kern w:val="2"/>
              <w:sz w:val="24"/>
              <w:szCs w:val="24"/>
              <w:lang w:val="en-GB" w:eastAsia="en-GB"/>
              <w14:ligatures w14:val="standardContextual"/>
            </w:rPr>
          </w:pPr>
          <w:hyperlink w:history="1" w:anchor="_Toc173339525">
            <w:r w:rsidRPr="001A48E5" w:rsidR="007D2DBD">
              <w:rPr>
                <w:rStyle w:val="Hyperlink"/>
                <w:noProof/>
              </w:rPr>
              <w:t>24</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Weighted averages</w:t>
            </w:r>
            <w:r w:rsidR="007D2DBD">
              <w:rPr>
                <w:noProof/>
                <w:webHidden/>
              </w:rPr>
              <w:tab/>
            </w:r>
            <w:r w:rsidR="007D2DBD">
              <w:rPr>
                <w:noProof/>
                <w:webHidden/>
              </w:rPr>
              <w:fldChar w:fldCharType="begin"/>
            </w:r>
            <w:r w:rsidR="007D2DBD">
              <w:rPr>
                <w:noProof/>
                <w:webHidden/>
              </w:rPr>
              <w:instrText xml:space="preserve"> PAGEREF _Toc173339525 \h </w:instrText>
            </w:r>
            <w:r w:rsidR="007D2DBD">
              <w:rPr>
                <w:noProof/>
                <w:webHidden/>
              </w:rPr>
            </w:r>
            <w:r w:rsidR="007D2DBD">
              <w:rPr>
                <w:noProof/>
                <w:webHidden/>
              </w:rPr>
              <w:fldChar w:fldCharType="separate"/>
            </w:r>
            <w:r w:rsidR="007D2DBD">
              <w:rPr>
                <w:noProof/>
                <w:webHidden/>
              </w:rPr>
              <w:t>12</w:t>
            </w:r>
            <w:r w:rsidR="007D2DBD">
              <w:rPr>
                <w:noProof/>
                <w:webHidden/>
              </w:rPr>
              <w:fldChar w:fldCharType="end"/>
            </w:r>
          </w:hyperlink>
        </w:p>
        <w:p w:rsidR="007D2DBD" w:rsidRDefault="006C3E4E" w14:paraId="2C0B0A95" w14:textId="377CDF37">
          <w:pPr>
            <w:pStyle w:val="TOC1"/>
            <w:rPr>
              <w:rFonts w:asciiTheme="minorHAnsi" w:hAnsiTheme="minorHAnsi" w:cstheme="minorBidi"/>
              <w:noProof/>
              <w:kern w:val="2"/>
              <w:sz w:val="24"/>
              <w:szCs w:val="24"/>
              <w:lang w:val="en-GB" w:eastAsia="en-GB"/>
              <w14:ligatures w14:val="standardContextual"/>
            </w:rPr>
          </w:pPr>
          <w:hyperlink w:history="1" w:anchor="_Toc173339526">
            <w:r w:rsidRPr="001A48E5" w:rsidR="007D2DBD">
              <w:rPr>
                <w:rStyle w:val="Hyperlink"/>
                <w:noProof/>
              </w:rPr>
              <w:t>25</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Compensation and Condonement Maxima</w:t>
            </w:r>
            <w:r w:rsidR="007D2DBD">
              <w:rPr>
                <w:noProof/>
                <w:webHidden/>
              </w:rPr>
              <w:tab/>
            </w:r>
            <w:r w:rsidR="007D2DBD">
              <w:rPr>
                <w:noProof/>
                <w:webHidden/>
              </w:rPr>
              <w:fldChar w:fldCharType="begin"/>
            </w:r>
            <w:r w:rsidR="007D2DBD">
              <w:rPr>
                <w:noProof/>
                <w:webHidden/>
              </w:rPr>
              <w:instrText xml:space="preserve"> PAGEREF _Toc173339526 \h </w:instrText>
            </w:r>
            <w:r w:rsidR="007D2DBD">
              <w:rPr>
                <w:noProof/>
                <w:webHidden/>
              </w:rPr>
            </w:r>
            <w:r w:rsidR="007D2DBD">
              <w:rPr>
                <w:noProof/>
                <w:webHidden/>
              </w:rPr>
              <w:fldChar w:fldCharType="separate"/>
            </w:r>
            <w:r w:rsidR="007D2DBD">
              <w:rPr>
                <w:noProof/>
                <w:webHidden/>
              </w:rPr>
              <w:t>12</w:t>
            </w:r>
            <w:r w:rsidR="007D2DBD">
              <w:rPr>
                <w:noProof/>
                <w:webHidden/>
              </w:rPr>
              <w:fldChar w:fldCharType="end"/>
            </w:r>
          </w:hyperlink>
        </w:p>
        <w:p w:rsidR="007D2DBD" w:rsidRDefault="006C3E4E" w14:paraId="3EA1B0CC" w14:textId="1A4D6000">
          <w:pPr>
            <w:pStyle w:val="TOC1"/>
            <w:rPr>
              <w:rFonts w:asciiTheme="minorHAnsi" w:hAnsiTheme="minorHAnsi" w:cstheme="minorBidi"/>
              <w:noProof/>
              <w:kern w:val="2"/>
              <w:sz w:val="24"/>
              <w:szCs w:val="24"/>
              <w:lang w:val="en-GB" w:eastAsia="en-GB"/>
              <w14:ligatures w14:val="standardContextual"/>
            </w:rPr>
          </w:pPr>
          <w:hyperlink w:history="1" w:anchor="_Toc173339527">
            <w:r w:rsidRPr="001A48E5" w:rsidR="007D2DBD">
              <w:rPr>
                <w:rStyle w:val="Hyperlink"/>
                <w:noProof/>
              </w:rPr>
              <w:t>26</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Compensation</w:t>
            </w:r>
            <w:r w:rsidR="007D2DBD">
              <w:rPr>
                <w:noProof/>
                <w:webHidden/>
              </w:rPr>
              <w:tab/>
            </w:r>
            <w:r w:rsidR="007D2DBD">
              <w:rPr>
                <w:noProof/>
                <w:webHidden/>
              </w:rPr>
              <w:fldChar w:fldCharType="begin"/>
            </w:r>
            <w:r w:rsidR="007D2DBD">
              <w:rPr>
                <w:noProof/>
                <w:webHidden/>
              </w:rPr>
              <w:instrText xml:space="preserve"> PAGEREF _Toc173339527 \h </w:instrText>
            </w:r>
            <w:r w:rsidR="007D2DBD">
              <w:rPr>
                <w:noProof/>
                <w:webHidden/>
              </w:rPr>
            </w:r>
            <w:r w:rsidR="007D2DBD">
              <w:rPr>
                <w:noProof/>
                <w:webHidden/>
              </w:rPr>
              <w:fldChar w:fldCharType="separate"/>
            </w:r>
            <w:r w:rsidR="007D2DBD">
              <w:rPr>
                <w:noProof/>
                <w:webHidden/>
              </w:rPr>
              <w:t>12</w:t>
            </w:r>
            <w:r w:rsidR="007D2DBD">
              <w:rPr>
                <w:noProof/>
                <w:webHidden/>
              </w:rPr>
              <w:fldChar w:fldCharType="end"/>
            </w:r>
          </w:hyperlink>
        </w:p>
        <w:p w:rsidR="007D2DBD" w:rsidRDefault="006C3E4E" w14:paraId="5C086490" w14:textId="4BA047DF">
          <w:pPr>
            <w:pStyle w:val="TOC1"/>
            <w:rPr>
              <w:rFonts w:asciiTheme="minorHAnsi" w:hAnsiTheme="minorHAnsi" w:cstheme="minorBidi"/>
              <w:noProof/>
              <w:kern w:val="2"/>
              <w:sz w:val="24"/>
              <w:szCs w:val="24"/>
              <w:lang w:val="en-GB" w:eastAsia="en-GB"/>
              <w14:ligatures w14:val="standardContextual"/>
            </w:rPr>
          </w:pPr>
          <w:hyperlink w:history="1" w:anchor="_Toc173339528">
            <w:r w:rsidRPr="001A48E5" w:rsidR="007D2DBD">
              <w:rPr>
                <w:rStyle w:val="Hyperlink"/>
                <w:noProof/>
              </w:rPr>
              <w:t>27</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Condonement</w:t>
            </w:r>
            <w:r w:rsidR="007D2DBD">
              <w:rPr>
                <w:noProof/>
                <w:webHidden/>
              </w:rPr>
              <w:tab/>
            </w:r>
            <w:r w:rsidR="007D2DBD">
              <w:rPr>
                <w:noProof/>
                <w:webHidden/>
              </w:rPr>
              <w:fldChar w:fldCharType="begin"/>
            </w:r>
            <w:r w:rsidR="007D2DBD">
              <w:rPr>
                <w:noProof/>
                <w:webHidden/>
              </w:rPr>
              <w:instrText xml:space="preserve"> PAGEREF _Toc173339528 \h </w:instrText>
            </w:r>
            <w:r w:rsidR="007D2DBD">
              <w:rPr>
                <w:noProof/>
                <w:webHidden/>
              </w:rPr>
            </w:r>
            <w:r w:rsidR="007D2DBD">
              <w:rPr>
                <w:noProof/>
                <w:webHidden/>
              </w:rPr>
              <w:fldChar w:fldCharType="separate"/>
            </w:r>
            <w:r w:rsidR="007D2DBD">
              <w:rPr>
                <w:noProof/>
                <w:webHidden/>
              </w:rPr>
              <w:t>13</w:t>
            </w:r>
            <w:r w:rsidR="007D2DBD">
              <w:rPr>
                <w:noProof/>
                <w:webHidden/>
              </w:rPr>
              <w:fldChar w:fldCharType="end"/>
            </w:r>
          </w:hyperlink>
        </w:p>
        <w:p w:rsidR="007D2DBD" w:rsidRDefault="006C3E4E" w14:paraId="4906DC14" w14:textId="32B36304">
          <w:pPr>
            <w:pStyle w:val="TOC1"/>
            <w:rPr>
              <w:rFonts w:asciiTheme="minorHAnsi" w:hAnsiTheme="minorHAnsi" w:cstheme="minorBidi"/>
              <w:noProof/>
              <w:kern w:val="2"/>
              <w:sz w:val="24"/>
              <w:szCs w:val="24"/>
              <w:lang w:val="en-GB" w:eastAsia="en-GB"/>
              <w14:ligatures w14:val="standardContextual"/>
            </w:rPr>
          </w:pPr>
          <w:hyperlink w:history="1" w:anchor="_Toc173339529">
            <w:r w:rsidRPr="001A48E5" w:rsidR="007D2DBD">
              <w:rPr>
                <w:rStyle w:val="Hyperlink"/>
                <w:noProof/>
              </w:rPr>
              <w:t>28</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Progression to the Award</w:t>
            </w:r>
            <w:r w:rsidR="007D2DBD">
              <w:rPr>
                <w:noProof/>
                <w:webHidden/>
              </w:rPr>
              <w:tab/>
            </w:r>
            <w:r w:rsidR="007D2DBD">
              <w:rPr>
                <w:noProof/>
                <w:webHidden/>
              </w:rPr>
              <w:fldChar w:fldCharType="begin"/>
            </w:r>
            <w:r w:rsidR="007D2DBD">
              <w:rPr>
                <w:noProof/>
                <w:webHidden/>
              </w:rPr>
              <w:instrText xml:space="preserve"> PAGEREF _Toc173339529 \h </w:instrText>
            </w:r>
            <w:r w:rsidR="007D2DBD">
              <w:rPr>
                <w:noProof/>
                <w:webHidden/>
              </w:rPr>
            </w:r>
            <w:r w:rsidR="007D2DBD">
              <w:rPr>
                <w:noProof/>
                <w:webHidden/>
              </w:rPr>
              <w:fldChar w:fldCharType="separate"/>
            </w:r>
            <w:r w:rsidR="007D2DBD">
              <w:rPr>
                <w:noProof/>
                <w:webHidden/>
              </w:rPr>
              <w:t>13</w:t>
            </w:r>
            <w:r w:rsidR="007D2DBD">
              <w:rPr>
                <w:noProof/>
                <w:webHidden/>
              </w:rPr>
              <w:fldChar w:fldCharType="end"/>
            </w:r>
          </w:hyperlink>
        </w:p>
        <w:p w:rsidR="007D2DBD" w:rsidRDefault="006C3E4E" w14:paraId="2735B718" w14:textId="7656ED8E">
          <w:pPr>
            <w:pStyle w:val="TOC1"/>
            <w:rPr>
              <w:rFonts w:asciiTheme="minorHAnsi" w:hAnsiTheme="minorHAnsi" w:cstheme="minorBidi"/>
              <w:noProof/>
              <w:kern w:val="2"/>
              <w:sz w:val="24"/>
              <w:szCs w:val="24"/>
              <w:lang w:val="en-GB" w:eastAsia="en-GB"/>
              <w14:ligatures w14:val="standardContextual"/>
            </w:rPr>
          </w:pPr>
          <w:hyperlink w:history="1" w:anchor="_Toc173339530">
            <w:r w:rsidRPr="001A48E5" w:rsidR="007D2DBD">
              <w:rPr>
                <w:rStyle w:val="Hyperlink"/>
                <w:noProof/>
              </w:rPr>
              <w:t>29</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Ineligibility to proceed to the Award</w:t>
            </w:r>
            <w:r w:rsidR="007D2DBD">
              <w:rPr>
                <w:noProof/>
                <w:webHidden/>
              </w:rPr>
              <w:tab/>
            </w:r>
            <w:r w:rsidR="007D2DBD">
              <w:rPr>
                <w:noProof/>
                <w:webHidden/>
              </w:rPr>
              <w:fldChar w:fldCharType="begin"/>
            </w:r>
            <w:r w:rsidR="007D2DBD">
              <w:rPr>
                <w:noProof/>
                <w:webHidden/>
              </w:rPr>
              <w:instrText xml:space="preserve"> PAGEREF _Toc173339530 \h </w:instrText>
            </w:r>
            <w:r w:rsidR="007D2DBD">
              <w:rPr>
                <w:noProof/>
                <w:webHidden/>
              </w:rPr>
            </w:r>
            <w:r w:rsidR="007D2DBD">
              <w:rPr>
                <w:noProof/>
                <w:webHidden/>
              </w:rPr>
              <w:fldChar w:fldCharType="separate"/>
            </w:r>
            <w:r w:rsidR="007D2DBD">
              <w:rPr>
                <w:noProof/>
                <w:webHidden/>
              </w:rPr>
              <w:t>13</w:t>
            </w:r>
            <w:r w:rsidR="007D2DBD">
              <w:rPr>
                <w:noProof/>
                <w:webHidden/>
              </w:rPr>
              <w:fldChar w:fldCharType="end"/>
            </w:r>
          </w:hyperlink>
        </w:p>
        <w:p w:rsidR="007D2DBD" w:rsidRDefault="006C3E4E" w14:paraId="52BDE6AA" w14:textId="70D1305A">
          <w:pPr>
            <w:pStyle w:val="TOC1"/>
            <w:rPr>
              <w:rFonts w:asciiTheme="minorHAnsi" w:hAnsiTheme="minorHAnsi" w:cstheme="minorBidi"/>
              <w:noProof/>
              <w:kern w:val="2"/>
              <w:sz w:val="24"/>
              <w:szCs w:val="24"/>
              <w:lang w:val="en-GB" w:eastAsia="en-GB"/>
              <w14:ligatures w14:val="standardContextual"/>
            </w:rPr>
          </w:pPr>
          <w:hyperlink w:history="1" w:anchor="_Toc173339531">
            <w:r w:rsidRPr="001A48E5" w:rsidR="007D2DBD">
              <w:rPr>
                <w:rStyle w:val="Hyperlink"/>
                <w:noProof/>
              </w:rPr>
              <w:t>30</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Aegrotat Awards</w:t>
            </w:r>
            <w:r w:rsidR="007D2DBD">
              <w:rPr>
                <w:noProof/>
                <w:webHidden/>
              </w:rPr>
              <w:tab/>
            </w:r>
            <w:r w:rsidR="007D2DBD">
              <w:rPr>
                <w:noProof/>
                <w:webHidden/>
              </w:rPr>
              <w:fldChar w:fldCharType="begin"/>
            </w:r>
            <w:r w:rsidR="007D2DBD">
              <w:rPr>
                <w:noProof/>
                <w:webHidden/>
              </w:rPr>
              <w:instrText xml:space="preserve"> PAGEREF _Toc173339531 \h </w:instrText>
            </w:r>
            <w:r w:rsidR="007D2DBD">
              <w:rPr>
                <w:noProof/>
                <w:webHidden/>
              </w:rPr>
            </w:r>
            <w:r w:rsidR="007D2DBD">
              <w:rPr>
                <w:noProof/>
                <w:webHidden/>
              </w:rPr>
              <w:fldChar w:fldCharType="separate"/>
            </w:r>
            <w:r w:rsidR="007D2DBD">
              <w:rPr>
                <w:noProof/>
                <w:webHidden/>
              </w:rPr>
              <w:t>13</w:t>
            </w:r>
            <w:r w:rsidR="007D2DBD">
              <w:rPr>
                <w:noProof/>
                <w:webHidden/>
              </w:rPr>
              <w:fldChar w:fldCharType="end"/>
            </w:r>
          </w:hyperlink>
        </w:p>
        <w:p w:rsidR="007D2DBD" w:rsidRDefault="006C3E4E" w14:paraId="5A46E485" w14:textId="3E6E36B4">
          <w:pPr>
            <w:pStyle w:val="TOC1"/>
            <w:rPr>
              <w:rFonts w:asciiTheme="minorHAnsi" w:hAnsiTheme="minorHAnsi" w:cstheme="minorBidi"/>
              <w:noProof/>
              <w:kern w:val="2"/>
              <w:sz w:val="24"/>
              <w:szCs w:val="24"/>
              <w:lang w:val="en-GB" w:eastAsia="en-GB"/>
              <w14:ligatures w14:val="standardContextual"/>
            </w:rPr>
          </w:pPr>
          <w:hyperlink w:history="1" w:anchor="_Toc173339532">
            <w:r w:rsidRPr="001A48E5" w:rsidR="007D2DBD">
              <w:rPr>
                <w:rStyle w:val="Hyperlink"/>
                <w:noProof/>
              </w:rPr>
              <w:t>31</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Posthumous Awards</w:t>
            </w:r>
            <w:r w:rsidR="007D2DBD">
              <w:rPr>
                <w:noProof/>
                <w:webHidden/>
              </w:rPr>
              <w:tab/>
            </w:r>
            <w:r w:rsidR="007D2DBD">
              <w:rPr>
                <w:noProof/>
                <w:webHidden/>
              </w:rPr>
              <w:fldChar w:fldCharType="begin"/>
            </w:r>
            <w:r w:rsidR="007D2DBD">
              <w:rPr>
                <w:noProof/>
                <w:webHidden/>
              </w:rPr>
              <w:instrText xml:space="preserve"> PAGEREF _Toc173339532 \h </w:instrText>
            </w:r>
            <w:r w:rsidR="007D2DBD">
              <w:rPr>
                <w:noProof/>
                <w:webHidden/>
              </w:rPr>
            </w:r>
            <w:r w:rsidR="007D2DBD">
              <w:rPr>
                <w:noProof/>
                <w:webHidden/>
              </w:rPr>
              <w:fldChar w:fldCharType="separate"/>
            </w:r>
            <w:r w:rsidR="007D2DBD">
              <w:rPr>
                <w:noProof/>
                <w:webHidden/>
              </w:rPr>
              <w:t>15</w:t>
            </w:r>
            <w:r w:rsidR="007D2DBD">
              <w:rPr>
                <w:noProof/>
                <w:webHidden/>
              </w:rPr>
              <w:fldChar w:fldCharType="end"/>
            </w:r>
          </w:hyperlink>
        </w:p>
        <w:p w:rsidR="007D2DBD" w:rsidRDefault="006C3E4E" w14:paraId="6CB99735" w14:textId="3B71D709">
          <w:pPr>
            <w:pStyle w:val="TOC1"/>
            <w:rPr>
              <w:rFonts w:asciiTheme="minorHAnsi" w:hAnsiTheme="minorHAnsi" w:cstheme="minorBidi"/>
              <w:noProof/>
              <w:kern w:val="2"/>
              <w:sz w:val="24"/>
              <w:szCs w:val="24"/>
              <w:lang w:val="en-GB" w:eastAsia="en-GB"/>
              <w14:ligatures w14:val="standardContextual"/>
            </w:rPr>
          </w:pPr>
          <w:hyperlink w:history="1" w:anchor="_Toc173339533">
            <w:r w:rsidRPr="001A48E5" w:rsidR="007D2DBD">
              <w:rPr>
                <w:rStyle w:val="Hyperlink"/>
                <w:noProof/>
              </w:rPr>
              <w:t>32</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RESULTS AND AWARDS</w:t>
            </w:r>
            <w:r w:rsidR="007D2DBD">
              <w:rPr>
                <w:noProof/>
                <w:webHidden/>
              </w:rPr>
              <w:tab/>
            </w:r>
            <w:r w:rsidR="007D2DBD">
              <w:rPr>
                <w:noProof/>
                <w:webHidden/>
              </w:rPr>
              <w:fldChar w:fldCharType="begin"/>
            </w:r>
            <w:r w:rsidR="007D2DBD">
              <w:rPr>
                <w:noProof/>
                <w:webHidden/>
              </w:rPr>
              <w:instrText xml:space="preserve"> PAGEREF _Toc173339533 \h </w:instrText>
            </w:r>
            <w:r w:rsidR="007D2DBD">
              <w:rPr>
                <w:noProof/>
                <w:webHidden/>
              </w:rPr>
            </w:r>
            <w:r w:rsidR="007D2DBD">
              <w:rPr>
                <w:noProof/>
                <w:webHidden/>
              </w:rPr>
              <w:fldChar w:fldCharType="separate"/>
            </w:r>
            <w:r w:rsidR="007D2DBD">
              <w:rPr>
                <w:noProof/>
                <w:webHidden/>
              </w:rPr>
              <w:t>16</w:t>
            </w:r>
            <w:r w:rsidR="007D2DBD">
              <w:rPr>
                <w:noProof/>
                <w:webHidden/>
              </w:rPr>
              <w:fldChar w:fldCharType="end"/>
            </w:r>
          </w:hyperlink>
        </w:p>
        <w:p w:rsidR="007D2DBD" w:rsidRDefault="006C3E4E" w14:paraId="26EAC4BE" w14:textId="59022305">
          <w:pPr>
            <w:pStyle w:val="TOC1"/>
            <w:rPr>
              <w:rFonts w:asciiTheme="minorHAnsi" w:hAnsiTheme="minorHAnsi" w:cstheme="minorBidi"/>
              <w:noProof/>
              <w:kern w:val="2"/>
              <w:sz w:val="24"/>
              <w:szCs w:val="24"/>
              <w:lang w:val="en-GB" w:eastAsia="en-GB"/>
              <w14:ligatures w14:val="standardContextual"/>
            </w:rPr>
          </w:pPr>
          <w:hyperlink w:history="1" w:anchor="_Toc173339534">
            <w:r w:rsidRPr="001A48E5" w:rsidR="007D2DBD">
              <w:rPr>
                <w:rStyle w:val="Hyperlink"/>
                <w:noProof/>
              </w:rPr>
              <w:t>33</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Version control</w:t>
            </w:r>
            <w:r w:rsidR="007D2DBD">
              <w:rPr>
                <w:noProof/>
                <w:webHidden/>
              </w:rPr>
              <w:tab/>
            </w:r>
            <w:r w:rsidR="007D2DBD">
              <w:rPr>
                <w:noProof/>
                <w:webHidden/>
              </w:rPr>
              <w:fldChar w:fldCharType="begin"/>
            </w:r>
            <w:r w:rsidR="007D2DBD">
              <w:rPr>
                <w:noProof/>
                <w:webHidden/>
              </w:rPr>
              <w:instrText xml:space="preserve"> PAGEREF _Toc173339534 \h </w:instrText>
            </w:r>
            <w:r w:rsidR="007D2DBD">
              <w:rPr>
                <w:noProof/>
                <w:webHidden/>
              </w:rPr>
            </w:r>
            <w:r w:rsidR="007D2DBD">
              <w:rPr>
                <w:noProof/>
                <w:webHidden/>
              </w:rPr>
              <w:fldChar w:fldCharType="separate"/>
            </w:r>
            <w:r w:rsidR="007D2DBD">
              <w:rPr>
                <w:noProof/>
                <w:webHidden/>
              </w:rPr>
              <w:t>17</w:t>
            </w:r>
            <w:r w:rsidR="007D2DBD">
              <w:rPr>
                <w:noProof/>
                <w:webHidden/>
              </w:rPr>
              <w:fldChar w:fldCharType="end"/>
            </w:r>
          </w:hyperlink>
        </w:p>
        <w:p w:rsidR="00F24D55" w:rsidRDefault="00F24D55" w14:paraId="79CE4072" w14:textId="3317DB00">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97395" w14:paraId="1027AF12" w14:textId="0360110E">
          <w:pPr>
            <w:pStyle w:val="PolicyTitle"/>
            <w:spacing w:after="360" w:line="240" w:lineRule="auto"/>
            <w:rPr>
              <w:sz w:val="36"/>
              <w:szCs w:val="36"/>
            </w:rPr>
          </w:pPr>
          <w:r>
            <w:t>Postgraduate and Graduate Diplomas</w:t>
          </w:r>
        </w:p>
      </w:sdtContent>
    </w:sdt>
    <w:p w:rsidR="00BC5840" w:rsidP="00A93D9D" w:rsidRDefault="005A6998" w14:paraId="1470D4D5" w14:textId="37903655">
      <w:pPr>
        <w:pStyle w:val="Heading1"/>
        <w:numPr>
          <w:ilvl w:val="0"/>
          <w:numId w:val="0"/>
        </w:numPr>
        <w:ind w:left="680"/>
      </w:pPr>
      <w:bookmarkStart w:name="_Toc173339493" w:id="0"/>
      <w:r w:rsidRPr="00780B17">
        <w:t>Introduction</w:t>
      </w:r>
      <w:bookmarkEnd w:id="0"/>
    </w:p>
    <w:p w:rsidR="00597395" w:rsidP="00A93D9D" w:rsidRDefault="00597395" w14:paraId="6ACBE83B" w14:textId="77777777">
      <w:pPr>
        <w:pStyle w:val="MainBullet"/>
        <w:numPr>
          <w:ilvl w:val="0"/>
          <w:numId w:val="0"/>
        </w:numPr>
        <w:ind w:left="680"/>
        <w:rPr>
          <w:lang w:val="en-GB" w:eastAsia="zh-CN"/>
        </w:rPr>
      </w:pPr>
      <w:r w:rsidRPr="00597395">
        <w:rPr>
          <w:lang w:val="en-GB" w:eastAsia="zh-CN"/>
        </w:rPr>
        <w:t>The following University Regulations apply to all postgraduate taught diplomas, including those designated as Advanced Diplomas and Professional Development Diplomas and to awards designated as Graduate Diplomas awarded by the University.</w:t>
      </w:r>
    </w:p>
    <w:p w:rsidRPr="000079AA" w:rsidR="000079AA" w:rsidP="00A93D9D" w:rsidRDefault="000079AA" w14:paraId="24106457" w14:textId="777F5424">
      <w:pPr>
        <w:pStyle w:val="MainBullet"/>
        <w:numPr>
          <w:ilvl w:val="0"/>
          <w:numId w:val="0"/>
        </w:numPr>
        <w:ind w:left="680"/>
        <w:rPr>
          <w:lang w:val="en-GB" w:eastAsia="zh-CN"/>
        </w:rPr>
      </w:pPr>
      <w:r w:rsidRPr="000079AA">
        <w:rPr>
          <w:lang w:val="en-GB" w:eastAsia="zh-CN"/>
        </w:rPr>
        <w:t xml:space="preserve">Candidates for the award of a qualification of the University </w:t>
      </w:r>
      <w:r w:rsidRPr="00B01082">
        <w:rPr>
          <w:b/>
          <w:bCs w:val="0"/>
          <w:lang w:val="en-GB" w:eastAsia="zh-CN"/>
        </w:rPr>
        <w:t>must</w:t>
      </w:r>
      <w:r w:rsidRPr="000079AA">
        <w:rPr>
          <w:lang w:val="en-GB" w:eastAsia="zh-CN"/>
        </w:rPr>
        <w:t xml:space="preserve"> satisfy both the University Regulations and the Regulations embodied in the published programme of study. </w:t>
      </w:r>
    </w:p>
    <w:p w:rsidRPr="000079AA" w:rsidR="000079AA" w:rsidP="00A93D9D" w:rsidRDefault="000079AA" w14:paraId="4C160535" w14:textId="66D75BE4">
      <w:pPr>
        <w:pStyle w:val="MainBullet"/>
        <w:numPr>
          <w:ilvl w:val="0"/>
          <w:numId w:val="0"/>
        </w:numPr>
        <w:ind w:left="680"/>
        <w:rPr>
          <w:lang w:val="en-GB" w:eastAsia="zh-CN"/>
        </w:rPr>
      </w:pPr>
      <w:r w:rsidRPr="000079AA">
        <w:rPr>
          <w:lang w:val="en-GB" w:eastAsia="zh-CN"/>
        </w:rPr>
        <w:t>The following Regulations apply to all programmes leading to University of Hull awards unless the Education Student Experience Committee (ESEC) has approved alternative Regulations for a specified Partner Institution responsible for the delivery of collaborative provision.</w:t>
      </w:r>
    </w:p>
    <w:p w:rsidRPr="000079AA" w:rsidR="00617924" w:rsidP="00A93D9D" w:rsidRDefault="000079AA" w14:paraId="488384CC" w14:textId="6C57B2B8">
      <w:pPr>
        <w:pStyle w:val="MainBullet"/>
        <w:numPr>
          <w:ilvl w:val="0"/>
          <w:numId w:val="0"/>
        </w:numPr>
        <w:ind w:left="680"/>
        <w:rPr>
          <w:lang w:val="en-GB" w:eastAsia="zh-CN"/>
        </w:rPr>
      </w:pPr>
      <w:r w:rsidRPr="000079AA">
        <w:rPr>
          <w:lang w:val="en-GB" w:eastAsia="zh-CN"/>
        </w:rPr>
        <w:t>The Education Student Experience Committee is the final arbiter of the application and/or interpretation of the Regulations.</w:t>
      </w:r>
    </w:p>
    <w:p w:rsidRPr="000079AA" w:rsidR="000079AA" w:rsidP="00D65ABD" w:rsidRDefault="000079AA" w14:paraId="6EE1B0FA" w14:textId="77777777">
      <w:pPr>
        <w:pStyle w:val="Heading1"/>
        <w:numPr>
          <w:ilvl w:val="0"/>
          <w:numId w:val="0"/>
        </w:numPr>
        <w:ind w:left="680"/>
      </w:pPr>
      <w:bookmarkStart w:name="_Toc173339494" w:id="1"/>
      <w:r w:rsidRPr="000079AA">
        <w:t>MODULES AND CREDITS</w:t>
      </w:r>
      <w:bookmarkEnd w:id="1"/>
    </w:p>
    <w:p w:rsidRPr="000079AA" w:rsidR="000079AA" w:rsidP="00D65ABD" w:rsidRDefault="000079AA" w14:paraId="634F5C28" w14:textId="77777777">
      <w:pPr>
        <w:pStyle w:val="Heading1"/>
      </w:pPr>
      <w:bookmarkStart w:name="_Toc173339495" w:id="2"/>
      <w:r w:rsidRPr="000079AA">
        <w:t>Modules</w:t>
      </w:r>
      <w:bookmarkEnd w:id="2"/>
      <w:r w:rsidRPr="000079AA">
        <w:t xml:space="preserve"> </w:t>
      </w:r>
    </w:p>
    <w:p w:rsidRPr="000079AA" w:rsidR="000079AA" w:rsidP="000079AA" w:rsidRDefault="000079AA" w14:paraId="768F55C0" w14:textId="77777777">
      <w:pPr>
        <w:pStyle w:val="MainBullet"/>
        <w:rPr>
          <w:lang w:val="en-GB" w:eastAsia="zh-CN"/>
        </w:rPr>
      </w:pPr>
      <w:r w:rsidRPr="000079AA">
        <w:rPr>
          <w:lang w:val="en-GB" w:eastAsia="zh-CN"/>
        </w:rPr>
        <w:t xml:space="preserve">For the purposes of these Regulations, a module is defined as being an assessed unit of learning. </w:t>
      </w:r>
    </w:p>
    <w:p w:rsidRPr="000079AA" w:rsidR="000079AA" w:rsidP="000079AA" w:rsidRDefault="000079AA" w14:paraId="73D9A42D" w14:textId="77777777">
      <w:pPr>
        <w:pStyle w:val="MainBullet"/>
        <w:rPr>
          <w:lang w:val="en-GB" w:eastAsia="zh-CN"/>
        </w:rPr>
      </w:pPr>
      <w:r w:rsidRPr="000079AA">
        <w:rPr>
          <w:lang w:val="en-GB" w:eastAsia="zh-CN"/>
        </w:rPr>
        <w:t xml:space="preserve">A single level is assigned to each module, indicating the academic standard of that module: </w:t>
      </w:r>
    </w:p>
    <w:p w:rsidRPr="000079AA" w:rsidR="000079AA" w:rsidP="00597395" w:rsidRDefault="000079AA" w14:paraId="7F7C553E" w14:textId="77777777">
      <w:pPr>
        <w:pStyle w:val="MainBullet"/>
        <w:numPr>
          <w:ilvl w:val="0"/>
          <w:numId w:val="0"/>
        </w:numPr>
        <w:ind w:left="1134"/>
        <w:rPr>
          <w:lang w:val="en-GB" w:eastAsia="zh-CN"/>
        </w:rPr>
      </w:pPr>
      <w:r w:rsidRPr="000079AA">
        <w:rPr>
          <w:lang w:val="en-GB" w:eastAsia="zh-CN"/>
        </w:rPr>
        <w:t>Level 5</w:t>
      </w:r>
      <w:r w:rsidRPr="000079AA">
        <w:rPr>
          <w:lang w:val="en-GB" w:eastAsia="zh-CN"/>
        </w:rPr>
        <w:tab/>
      </w:r>
      <w:r w:rsidRPr="000079AA">
        <w:rPr>
          <w:lang w:val="en-GB" w:eastAsia="zh-CN"/>
        </w:rPr>
        <w:tab/>
        <w:t>Diploma</w:t>
      </w:r>
    </w:p>
    <w:p w:rsidRPr="000079AA" w:rsidR="000079AA" w:rsidP="00597395" w:rsidRDefault="000079AA" w14:paraId="5FDF3850" w14:textId="77777777">
      <w:pPr>
        <w:pStyle w:val="MainBullet"/>
        <w:numPr>
          <w:ilvl w:val="0"/>
          <w:numId w:val="0"/>
        </w:numPr>
        <w:ind w:left="1134"/>
        <w:rPr>
          <w:lang w:val="en-GB" w:eastAsia="zh-CN"/>
        </w:rPr>
      </w:pPr>
      <w:r w:rsidRPr="000079AA">
        <w:rPr>
          <w:lang w:val="en-GB" w:eastAsia="zh-CN"/>
        </w:rPr>
        <w:t>Level 6</w:t>
      </w:r>
      <w:r w:rsidRPr="000079AA">
        <w:rPr>
          <w:lang w:val="en-GB" w:eastAsia="zh-CN"/>
        </w:rPr>
        <w:tab/>
      </w:r>
      <w:r w:rsidRPr="000079AA">
        <w:rPr>
          <w:lang w:val="en-GB" w:eastAsia="zh-CN"/>
        </w:rPr>
        <w:tab/>
        <w:t>Honours</w:t>
      </w:r>
    </w:p>
    <w:p w:rsidRPr="000079AA" w:rsidR="000079AA" w:rsidP="00597395" w:rsidRDefault="000079AA" w14:paraId="11803A98" w14:textId="77777777">
      <w:pPr>
        <w:pStyle w:val="MainBullet"/>
        <w:numPr>
          <w:ilvl w:val="0"/>
          <w:numId w:val="0"/>
        </w:numPr>
        <w:ind w:left="1134"/>
        <w:rPr>
          <w:lang w:val="en-GB" w:eastAsia="zh-CN"/>
        </w:rPr>
      </w:pPr>
      <w:r w:rsidRPr="000079AA">
        <w:rPr>
          <w:lang w:val="en-GB" w:eastAsia="zh-CN"/>
        </w:rPr>
        <w:t>Level 7</w:t>
      </w:r>
      <w:r w:rsidRPr="000079AA">
        <w:rPr>
          <w:lang w:val="en-GB" w:eastAsia="zh-CN"/>
        </w:rPr>
        <w:tab/>
      </w:r>
      <w:r w:rsidRPr="000079AA">
        <w:rPr>
          <w:lang w:val="en-GB" w:eastAsia="zh-CN"/>
        </w:rPr>
        <w:tab/>
        <w:t>Masters.</w:t>
      </w:r>
    </w:p>
    <w:p w:rsidRPr="000079AA" w:rsidR="000079AA" w:rsidP="000079AA" w:rsidRDefault="000079AA" w14:paraId="7F549169" w14:textId="77777777">
      <w:pPr>
        <w:pStyle w:val="MainBullet"/>
        <w:rPr>
          <w:lang w:val="en-GB" w:eastAsia="zh-CN"/>
        </w:rPr>
      </w:pPr>
      <w:r w:rsidRPr="000079AA">
        <w:rPr>
          <w:lang w:val="en-GB" w:eastAsia="zh-CN"/>
        </w:rPr>
        <w:t xml:space="preserve">Modules </w:t>
      </w:r>
      <w:r w:rsidRPr="00B01082">
        <w:rPr>
          <w:b/>
          <w:bCs w:val="0"/>
          <w:lang w:val="en-GB" w:eastAsia="zh-CN"/>
        </w:rPr>
        <w:t>must</w:t>
      </w:r>
      <w:r w:rsidRPr="000079AA">
        <w:rPr>
          <w:lang w:val="en-GB" w:eastAsia="zh-CN"/>
        </w:rPr>
        <w:t xml:space="preserve"> be designated by the programme as core, compulsory, optional or elective, according to their importance in enabling students to achieve the learning outcomes/competencies for the programme as a whole and, where applicable, to meet professional body requirements.</w:t>
      </w:r>
    </w:p>
    <w:p w:rsidRPr="00D65ABD" w:rsidR="00D65ABD" w:rsidP="00D65ABD" w:rsidRDefault="00D65ABD" w14:paraId="3AF678DC" w14:textId="77777777">
      <w:pPr>
        <w:pStyle w:val="Heading1"/>
      </w:pPr>
      <w:bookmarkStart w:name="_Toc173339496" w:id="3"/>
      <w:r w:rsidRPr="00D65ABD">
        <w:t>Credit values</w:t>
      </w:r>
      <w:bookmarkEnd w:id="3"/>
    </w:p>
    <w:p w:rsidRPr="00D65ABD" w:rsidR="00D65ABD" w:rsidP="00D65ABD" w:rsidRDefault="00D65ABD" w14:paraId="1C876977" w14:textId="77777777">
      <w:pPr>
        <w:pStyle w:val="MainBullet"/>
        <w:rPr>
          <w:lang w:val="en-GB" w:eastAsia="zh-CN"/>
        </w:rPr>
      </w:pPr>
      <w:r w:rsidRPr="00D65ABD">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D65ABD" w:rsidR="00D65ABD" w:rsidP="00D65ABD" w:rsidRDefault="00D65ABD" w14:paraId="11E5B008" w14:textId="77777777">
      <w:pPr>
        <w:pStyle w:val="MainBullet"/>
        <w:rPr>
          <w:lang w:val="en-GB" w:eastAsia="zh-CN"/>
        </w:rPr>
      </w:pPr>
      <w:r w:rsidRPr="00D65ABD">
        <w:rPr>
          <w:lang w:val="en-GB" w:eastAsia="zh-CN"/>
        </w:rPr>
        <w:t>Learning includes private study, revision and assessment in addition to formal teaching time.</w:t>
      </w:r>
    </w:p>
    <w:p w:rsidRPr="00A93D9D" w:rsidR="00A93D9D" w:rsidP="00A93D9D" w:rsidRDefault="00A93D9D" w14:paraId="2795048F" w14:textId="77777777">
      <w:pPr>
        <w:pStyle w:val="Heading1"/>
      </w:pPr>
      <w:bookmarkStart w:name="_Toc173339497" w:id="4"/>
      <w:r w:rsidRPr="00A93D9D">
        <w:t>Valid life of credits</w:t>
      </w:r>
      <w:bookmarkEnd w:id="4"/>
    </w:p>
    <w:p w:rsidRPr="00A93D9D" w:rsidR="00A93D9D" w:rsidP="00A93D9D" w:rsidRDefault="00A93D9D" w14:paraId="1ADC9AF9" w14:textId="77777777">
      <w:pPr>
        <w:pStyle w:val="MainBullet"/>
        <w:rPr>
          <w:lang w:val="en-GB" w:eastAsia="zh-CN"/>
        </w:rPr>
      </w:pPr>
      <w:r w:rsidRPr="00A93D9D">
        <w:rPr>
          <w:lang w:val="en-GB" w:eastAsia="zh-CN"/>
        </w:rPr>
        <w:t>Modules credited to a candidate may not be used towards an award after nine years have elapsed from the end of the candidate’s enrolment for the module.</w:t>
      </w:r>
    </w:p>
    <w:p w:rsidRPr="00A93D9D" w:rsidR="00A93D9D" w:rsidP="00A93D9D" w:rsidRDefault="00A93D9D" w14:paraId="1C31FEB4" w14:textId="77777777">
      <w:pPr>
        <w:pStyle w:val="MainBullet"/>
        <w:rPr>
          <w:lang w:val="en-GB" w:eastAsia="zh-CN"/>
        </w:rPr>
      </w:pPr>
      <w:r w:rsidRPr="00A93D9D">
        <w:rPr>
          <w:lang w:val="en-GB" w:eastAsia="zh-CN"/>
        </w:rPr>
        <w:t xml:space="preserve">For specific programmes leading to an award a lower ‘shelf life’ may be set for example to reflect the requirements of professional bodies. </w:t>
      </w:r>
    </w:p>
    <w:p w:rsidRPr="00A93D9D" w:rsidR="00A93D9D" w:rsidP="00A93D9D" w:rsidRDefault="00A93D9D" w14:paraId="1F58FC43" w14:textId="77777777">
      <w:pPr>
        <w:pStyle w:val="Heading1"/>
      </w:pPr>
      <w:bookmarkStart w:name="_Toc173339498" w:id="5"/>
      <w:r w:rsidRPr="00A93D9D">
        <w:lastRenderedPageBreak/>
        <w:t>Duplication of awards</w:t>
      </w:r>
      <w:bookmarkEnd w:id="5"/>
    </w:p>
    <w:p w:rsidRPr="00A93D9D" w:rsidR="00A93D9D" w:rsidP="00A93D9D" w:rsidRDefault="00A93D9D" w14:paraId="233B6FDC" w14:textId="2F429BC8">
      <w:pPr>
        <w:pStyle w:val="MainBullet"/>
        <w:rPr>
          <w:lang w:val="en-GB" w:eastAsia="zh-CN"/>
        </w:rPr>
      </w:pPr>
      <w:r w:rsidRPr="00A93D9D">
        <w:rPr>
          <w:lang w:val="en-GB" w:eastAsia="zh-CN"/>
        </w:rPr>
        <w:t>With the exception of programmes designated as Dual Awards, the same credits cannot be counted towards two separate qualifications unless one qualification is a level in the normal progression to the other qualification.</w:t>
      </w:r>
    </w:p>
    <w:p w:rsidRPr="00A93D9D" w:rsidR="00A93D9D" w:rsidP="00A93D9D" w:rsidRDefault="00A93D9D" w14:paraId="4A6F2E53" w14:textId="77777777">
      <w:pPr>
        <w:pStyle w:val="Heading1"/>
        <w:numPr>
          <w:ilvl w:val="0"/>
          <w:numId w:val="0"/>
        </w:numPr>
        <w:ind w:left="680"/>
      </w:pPr>
      <w:bookmarkStart w:name="_Toc173339499" w:id="6"/>
      <w:r w:rsidRPr="00A93D9D">
        <w:t>PROGRAMME STRUCTURES</w:t>
      </w:r>
      <w:bookmarkEnd w:id="6"/>
    </w:p>
    <w:p w:rsidR="00597395" w:rsidP="00597395" w:rsidRDefault="00597395" w14:paraId="4620AB77" w14:textId="77777777">
      <w:pPr>
        <w:pStyle w:val="Heading1"/>
      </w:pPr>
      <w:bookmarkStart w:name="_Toc173339500" w:id="7"/>
      <w:r>
        <w:t>Programme Levels</w:t>
      </w:r>
      <w:bookmarkEnd w:id="7"/>
    </w:p>
    <w:p w:rsidR="00597395" w:rsidP="00597395" w:rsidRDefault="00597395" w14:paraId="633C58A8" w14:textId="2E95DBDE">
      <w:pPr>
        <w:pStyle w:val="MainBullet"/>
      </w:pPr>
      <w:r>
        <w:t>For the purpose of continuation or progression each programme is divided into levels as follows:</w:t>
      </w:r>
    </w:p>
    <w:p w:rsidR="00597395" w:rsidP="00597395" w:rsidRDefault="00597395" w14:paraId="1D22089D" w14:textId="77777777">
      <w:pPr>
        <w:pStyle w:val="MainBullet"/>
        <w:numPr>
          <w:ilvl w:val="0"/>
          <w:numId w:val="0"/>
        </w:numPr>
        <w:ind w:left="1134"/>
      </w:pPr>
      <w:r>
        <w:t>The Certificate level</w:t>
      </w:r>
      <w:r>
        <w:tab/>
        <w:t>first 60 credits</w:t>
      </w:r>
    </w:p>
    <w:p w:rsidRPr="00597395" w:rsidR="00597395" w:rsidP="00597395" w:rsidRDefault="00597395" w14:paraId="27AE79BA" w14:textId="6B88AAAC">
      <w:pPr>
        <w:pStyle w:val="MainBullet"/>
        <w:numPr>
          <w:ilvl w:val="0"/>
          <w:numId w:val="0"/>
        </w:numPr>
        <w:ind w:left="1134"/>
      </w:pPr>
      <w:r>
        <w:t>The Diploma level</w:t>
      </w:r>
      <w:r>
        <w:tab/>
      </w:r>
      <w:r>
        <w:tab/>
        <w:t>second 60 credits.</w:t>
      </w:r>
    </w:p>
    <w:tbl>
      <w:tblPr>
        <w:tblStyle w:val="TableGrid"/>
        <w:tblW w:w="0" w:type="auto"/>
        <w:tblInd w:w="680" w:type="dxa"/>
        <w:tblLook w:val="04A0" w:firstRow="1" w:lastRow="0" w:firstColumn="1" w:lastColumn="0" w:noHBand="0" w:noVBand="1"/>
      </w:tblPr>
      <w:tblGrid>
        <w:gridCol w:w="8336"/>
      </w:tblGrid>
      <w:tr w:rsidR="00597395" w:rsidTr="00597395" w14:paraId="568D8672" w14:textId="77777777">
        <w:tc>
          <w:tcPr>
            <w:tcW w:w="8336" w:type="dxa"/>
          </w:tcPr>
          <w:p w:rsidRPr="00597395" w:rsidR="00597395" w:rsidP="00597395" w:rsidRDefault="00597395" w14:paraId="05A469B2" w14:textId="331E19F1">
            <w:pPr>
              <w:pStyle w:val="MainBullet"/>
              <w:numPr>
                <w:ilvl w:val="0"/>
                <w:numId w:val="0"/>
              </w:numPr>
              <w:rPr>
                <w:i/>
                <w:iCs/>
                <w:sz w:val="18"/>
                <w:szCs w:val="18"/>
              </w:rPr>
            </w:pPr>
            <w:r w:rsidRPr="00597395">
              <w:rPr>
                <w:i/>
                <w:iCs/>
                <w:sz w:val="18"/>
                <w:szCs w:val="18"/>
              </w:rPr>
              <w:t xml:space="preserve">Each programme </w:t>
            </w:r>
            <w:r w:rsidRPr="007D2DBD">
              <w:rPr>
                <w:b/>
                <w:bCs w:val="0"/>
                <w:i/>
                <w:iCs/>
                <w:sz w:val="18"/>
                <w:szCs w:val="18"/>
              </w:rPr>
              <w:t>must</w:t>
            </w:r>
            <w:r w:rsidRPr="00597395">
              <w:rPr>
                <w:i/>
                <w:iCs/>
                <w:sz w:val="18"/>
                <w:szCs w:val="18"/>
              </w:rPr>
              <w:t xml:space="preserve"> be divided into two levels although there is no requirement for a Programme Board at the end of the Certificate level. </w:t>
            </w:r>
          </w:p>
          <w:p w:rsidR="00597395" w:rsidP="00597395" w:rsidRDefault="00597395" w14:paraId="42872B1B" w14:textId="0F778179">
            <w:pPr>
              <w:pStyle w:val="MainBullet"/>
              <w:numPr>
                <w:ilvl w:val="0"/>
                <w:numId w:val="0"/>
              </w:numPr>
            </w:pPr>
            <w:r w:rsidRPr="00597395">
              <w:rPr>
                <w:i/>
                <w:iCs/>
                <w:sz w:val="18"/>
                <w:szCs w:val="18"/>
              </w:rPr>
              <w:t xml:space="preserve">Each level of the programme </w:t>
            </w:r>
            <w:r w:rsidRPr="007D2DBD">
              <w:rPr>
                <w:b/>
                <w:bCs w:val="0"/>
                <w:i/>
                <w:iCs/>
                <w:sz w:val="18"/>
                <w:szCs w:val="18"/>
              </w:rPr>
              <w:t>must</w:t>
            </w:r>
            <w:r w:rsidRPr="00597395">
              <w:rPr>
                <w:i/>
                <w:iCs/>
                <w:sz w:val="18"/>
                <w:szCs w:val="18"/>
              </w:rPr>
              <w:t xml:space="preserve"> be completed within three years.</w:t>
            </w:r>
          </w:p>
        </w:tc>
      </w:tr>
    </w:tbl>
    <w:p w:rsidR="00597395" w:rsidP="00597395" w:rsidRDefault="00597395" w14:paraId="0289CA5B" w14:textId="69045C7B">
      <w:pPr>
        <w:pStyle w:val="Heading1"/>
      </w:pPr>
      <w:bookmarkStart w:name="_Toc173339501" w:id="8"/>
      <w:r>
        <w:t>Total Credit Values for Diplomas</w:t>
      </w:r>
      <w:bookmarkEnd w:id="8"/>
    </w:p>
    <w:p w:rsidR="00597395" w:rsidP="00597395" w:rsidRDefault="00597395" w14:paraId="7B24C2CC" w14:textId="24F81065">
      <w:pPr>
        <w:pStyle w:val="MainBullet"/>
      </w:pPr>
      <w:r>
        <w:t>The total credit value of programmes offered by the University and governed by these Regulations is as follows:</w:t>
      </w:r>
    </w:p>
    <w:p w:rsidR="00597395" w:rsidP="00597395" w:rsidRDefault="00597395" w14:paraId="0041D1FD" w14:textId="77777777">
      <w:pPr>
        <w:pStyle w:val="MainBullet"/>
        <w:numPr>
          <w:ilvl w:val="2"/>
          <w:numId w:val="27"/>
        </w:numPr>
      </w:pPr>
      <w:r>
        <w:t>a graduate diploma shall be comprised 120 credits of which a minimum of 90 credits shall be at level 6, and a maximum of 30 credits at level 5. Programme learning outcomes/competencies shall be at level 6.</w:t>
      </w:r>
    </w:p>
    <w:p w:rsidR="00597395" w:rsidP="00597395" w:rsidRDefault="00597395" w14:paraId="12B8875F" w14:textId="66EBD471">
      <w:pPr>
        <w:pStyle w:val="MainBullet"/>
        <w:numPr>
          <w:ilvl w:val="2"/>
          <w:numId w:val="27"/>
        </w:numPr>
      </w:pPr>
      <w:r>
        <w:t>a postgraduate diploma shall be comprised 120 credits of which a minimum of 100 credits shall be at level 7 and a maximum of 20 credits at level 6. Programme learning outcomes/competencies shall be at level 7.</w:t>
      </w:r>
    </w:p>
    <w:p w:rsidRPr="00A93D9D" w:rsidR="00A93D9D" w:rsidP="00A93D9D" w:rsidRDefault="00A93D9D" w14:paraId="4FE8F68F" w14:textId="77777777">
      <w:pPr>
        <w:pStyle w:val="Heading1"/>
      </w:pPr>
      <w:bookmarkStart w:name="_Toc173339502" w:id="9"/>
      <w:r w:rsidRPr="00A93D9D">
        <w:t>Pass/Fail assessment components</w:t>
      </w:r>
      <w:bookmarkEnd w:id="9"/>
    </w:p>
    <w:p w:rsidRPr="00A93D9D" w:rsidR="00A93D9D" w:rsidP="00A93D9D" w:rsidRDefault="00A93D9D" w14:paraId="3747BD77" w14:textId="77777777">
      <w:pPr>
        <w:pStyle w:val="MainBullet"/>
        <w:rPr>
          <w:lang w:val="en-GB" w:eastAsia="zh-CN"/>
        </w:rPr>
      </w:pPr>
      <w:r w:rsidRPr="00A93D9D">
        <w:rPr>
          <w:lang w:val="en-GB" w:eastAsia="zh-CN"/>
        </w:rPr>
        <w:t>The use of pass/fail for individual assessment components is only applicable for those modules with PSRB requirements for assessing professional competency.</w:t>
      </w:r>
    </w:p>
    <w:p w:rsidRPr="00A93D9D" w:rsidR="00A93D9D" w:rsidP="00A93D9D" w:rsidRDefault="00A93D9D" w14:paraId="651C8FEC" w14:textId="357D87E2">
      <w:pPr>
        <w:pStyle w:val="MainBullet"/>
        <w:rPr>
          <w:lang w:val="en-GB" w:eastAsia="zh-CN"/>
        </w:rPr>
      </w:pPr>
      <w:r w:rsidRPr="00A93D9D">
        <w:rPr>
          <w:lang w:val="en-GB" w:eastAsia="zh-CN"/>
        </w:rPr>
        <w:t xml:space="preserve">Where a programme of study includes modules with pass/fail assessment components, these components/modules shall be disregarded in calculating any weighted average required under these Regulations. </w:t>
      </w:r>
    </w:p>
    <w:tbl>
      <w:tblPr>
        <w:tblStyle w:val="TableGrid"/>
        <w:tblW w:w="0" w:type="auto"/>
        <w:tblInd w:w="680" w:type="dxa"/>
        <w:tblLook w:val="04A0" w:firstRow="1" w:lastRow="0" w:firstColumn="1" w:lastColumn="0" w:noHBand="0" w:noVBand="1"/>
      </w:tblPr>
      <w:tblGrid>
        <w:gridCol w:w="8336"/>
      </w:tblGrid>
      <w:tr w:rsidR="00A93D9D" w:rsidTr="00A93D9D" w14:paraId="6D0BF6C5" w14:textId="77777777">
        <w:tc>
          <w:tcPr>
            <w:tcW w:w="9016" w:type="dxa"/>
          </w:tcPr>
          <w:p w:rsidRPr="00A93D9D" w:rsidR="00A93D9D" w:rsidP="00A93D9D" w:rsidRDefault="00A93D9D" w14:paraId="4799A998" w14:textId="69B2D4AE">
            <w:pPr>
              <w:pStyle w:val="MainBullet"/>
              <w:numPr>
                <w:ilvl w:val="0"/>
                <w:numId w:val="0"/>
              </w:numPr>
              <w:rPr>
                <w:i/>
                <w:iCs/>
                <w:sz w:val="18"/>
                <w:szCs w:val="18"/>
                <w:lang w:val="en-GB" w:eastAsia="zh-CN"/>
              </w:rPr>
            </w:pPr>
            <w:r w:rsidRPr="00A93D9D">
              <w:rPr>
                <w:i/>
                <w:iCs/>
                <w:sz w:val="18"/>
                <w:szCs w:val="18"/>
                <w:lang w:val="en-GB" w:eastAsia="zh-CN"/>
              </w:rPr>
              <w:t>The use of pass/fail within assessment grants exemption from having to attach a numerical mark where this would be inappropriate, for example because the assessment component for the module is concerned with demonstrating competency; this is applicable only where competency is being judged against professional standards set by the relevant PSRB.</w:t>
            </w:r>
          </w:p>
        </w:tc>
      </w:tr>
    </w:tbl>
    <w:p w:rsidRPr="00A93D9D" w:rsidR="00A93D9D" w:rsidP="00A93D9D" w:rsidRDefault="00A93D9D" w14:paraId="13CA489F" w14:textId="77777777">
      <w:pPr>
        <w:pStyle w:val="MainBullet"/>
        <w:numPr>
          <w:ilvl w:val="0"/>
          <w:numId w:val="0"/>
        </w:numPr>
        <w:rPr>
          <w:lang w:val="en-GB" w:eastAsia="zh-CN"/>
        </w:rPr>
      </w:pPr>
    </w:p>
    <w:p w:rsidRPr="00A93D9D" w:rsidR="00A93D9D" w:rsidP="00A93D9D" w:rsidRDefault="00A93D9D" w14:paraId="5250C737" w14:textId="77777777">
      <w:pPr>
        <w:pStyle w:val="Heading1"/>
      </w:pPr>
      <w:bookmarkStart w:name="_Toc173339503" w:id="10"/>
      <w:r w:rsidRPr="00A93D9D">
        <w:t>Required Progression Routes</w:t>
      </w:r>
      <w:bookmarkEnd w:id="10"/>
    </w:p>
    <w:p w:rsidRPr="00597395" w:rsidR="00597395" w:rsidP="00597395" w:rsidRDefault="00597395" w14:paraId="6542B8B2" w14:textId="77777777">
      <w:pPr>
        <w:pStyle w:val="MainBullet"/>
        <w:rPr>
          <w:lang w:val="en-GB" w:eastAsia="zh-CN"/>
        </w:rPr>
      </w:pPr>
      <w:r w:rsidRPr="00597395">
        <w:rPr>
          <w:lang w:val="en-GB" w:eastAsia="zh-CN"/>
        </w:rPr>
        <w:t>Advanced Diplomas shall provide progression from specified professional qualifications and experiential learning equivalent to an undergraduate degree.</w:t>
      </w:r>
    </w:p>
    <w:p w:rsidRPr="00597395" w:rsidR="00597395" w:rsidP="00597395" w:rsidRDefault="00597395" w14:paraId="4BB480F8" w14:textId="77777777">
      <w:pPr>
        <w:pStyle w:val="MainBullet"/>
        <w:rPr>
          <w:lang w:val="en-GB" w:eastAsia="zh-CN"/>
        </w:rPr>
      </w:pPr>
      <w:r w:rsidRPr="00597395">
        <w:rPr>
          <w:lang w:val="en-GB" w:eastAsia="zh-CN"/>
        </w:rPr>
        <w:t>Postgraduate Diplomas shall provide progression from an undergraduate degree.</w:t>
      </w:r>
    </w:p>
    <w:p w:rsidRPr="00597395" w:rsidR="00597395" w:rsidP="00597395" w:rsidRDefault="00597395" w14:paraId="66C4910B" w14:textId="77777777">
      <w:pPr>
        <w:pStyle w:val="MainBullet"/>
        <w:rPr>
          <w:lang w:val="en-GB" w:eastAsia="zh-CN"/>
        </w:rPr>
      </w:pPr>
      <w:r w:rsidRPr="00597395">
        <w:rPr>
          <w:lang w:val="en-GB" w:eastAsia="zh-CN"/>
        </w:rPr>
        <w:lastRenderedPageBreak/>
        <w:t>Professional Development Diplomas shall enhance the personal and professional development of specific professional groups and provide the opportunity for progression from basic to advanced levels of work and training.</w:t>
      </w:r>
    </w:p>
    <w:p w:rsidRPr="00597395" w:rsidR="00597395" w:rsidP="00597395" w:rsidRDefault="00597395" w14:paraId="1DFD42DE" w14:textId="77777777">
      <w:pPr>
        <w:pStyle w:val="MainBullet"/>
        <w:rPr>
          <w:lang w:val="en-GB" w:eastAsia="zh-CN"/>
        </w:rPr>
      </w:pPr>
      <w:r w:rsidRPr="00597395">
        <w:rPr>
          <w:lang w:val="en-GB" w:eastAsia="zh-CN"/>
        </w:rPr>
        <w:t xml:space="preserve">Graduate Diplomas shall provide a qualification route for holders of an undergraduate award seeking further qualification at Honours level. </w:t>
      </w:r>
    </w:p>
    <w:p w:rsidRPr="00A93D9D" w:rsidR="00A93D9D" w:rsidP="00A93D9D" w:rsidRDefault="00A93D9D" w14:paraId="0B4DCB0D" w14:textId="77777777">
      <w:pPr>
        <w:pStyle w:val="Heading1"/>
        <w:numPr>
          <w:ilvl w:val="0"/>
          <w:numId w:val="0"/>
        </w:numPr>
        <w:ind w:left="680"/>
      </w:pPr>
      <w:bookmarkStart w:name="_Toc173339504" w:id="11"/>
      <w:r w:rsidRPr="00A93D9D">
        <w:t>ADMISSION</w:t>
      </w:r>
      <w:bookmarkEnd w:id="11"/>
    </w:p>
    <w:p w:rsidRPr="00A93D9D" w:rsidR="00A93D9D" w:rsidP="00A93D9D" w:rsidRDefault="00A93D9D" w14:paraId="42736054" w14:textId="77777777">
      <w:pPr>
        <w:pStyle w:val="Heading1"/>
      </w:pPr>
      <w:bookmarkStart w:name="_Toc173339505" w:id="12"/>
      <w:r w:rsidRPr="00A93D9D">
        <w:t>Admission to a Programme</w:t>
      </w:r>
      <w:bookmarkEnd w:id="12"/>
    </w:p>
    <w:p w:rsidRPr="00077D54" w:rsidR="00077D54" w:rsidP="00077D54" w:rsidRDefault="00A93D9D" w14:paraId="3D645890" w14:textId="3C56E3E9">
      <w:pPr>
        <w:pStyle w:val="MainBullet"/>
        <w:rPr>
          <w:lang w:val="en-GB" w:eastAsia="zh-CN"/>
        </w:rPr>
      </w:pPr>
      <w:r w:rsidRPr="00A93D9D">
        <w:t xml:space="preserve">To be admitted to a </w:t>
      </w:r>
      <w:r w:rsidR="00597395">
        <w:t>Diploma</w:t>
      </w:r>
      <w:r w:rsidRPr="00A93D9D">
        <w:t xml:space="preserve"> programme a candidate</w:t>
      </w:r>
      <w:r w:rsidRPr="00077D54" w:rsidR="00077D54">
        <w:t xml:space="preserve"> </w:t>
      </w:r>
      <w:r w:rsidRPr="00077D54" w:rsidR="00077D54">
        <w:rPr>
          <w:lang w:val="en-GB" w:eastAsia="zh-CN"/>
        </w:rPr>
        <w:t>shall have:</w:t>
      </w:r>
    </w:p>
    <w:p w:rsidRPr="00077D54" w:rsidR="00077D54" w:rsidP="00077D54" w:rsidRDefault="00077D54" w14:paraId="4DA6743D" w14:textId="77777777">
      <w:pPr>
        <w:pStyle w:val="MainBullet"/>
        <w:numPr>
          <w:ilvl w:val="2"/>
          <w:numId w:val="27"/>
        </w:numPr>
        <w:rPr>
          <w:lang w:val="en-GB" w:eastAsia="zh-CN"/>
        </w:rPr>
      </w:pPr>
      <w:r w:rsidRPr="00077D54">
        <w:rPr>
          <w:lang w:val="en-GB" w:eastAsia="zh-CN"/>
        </w:rPr>
        <w:t>been awarded an undergraduate degree normally in the first or second class in an appropriate subject of this University, or another institution, (or equivalent), and</w:t>
      </w:r>
    </w:p>
    <w:p w:rsidR="00077D54" w:rsidP="00077D54" w:rsidRDefault="00077D54" w14:paraId="05C61F88" w14:textId="77777777">
      <w:pPr>
        <w:pStyle w:val="MainBullet"/>
        <w:numPr>
          <w:ilvl w:val="2"/>
          <w:numId w:val="27"/>
        </w:numPr>
        <w:rPr>
          <w:lang w:val="en-GB" w:eastAsia="zh-CN"/>
        </w:rPr>
      </w:pPr>
      <w:r w:rsidRPr="00077D54">
        <w:rPr>
          <w:lang w:val="en-GB" w:eastAsia="zh-CN"/>
        </w:rPr>
        <w:t>satisfied such entry requirements as may be specified for the programme or applicable Progression Agreement.</w:t>
      </w:r>
    </w:p>
    <w:tbl>
      <w:tblPr>
        <w:tblStyle w:val="TableGrid"/>
        <w:tblW w:w="0" w:type="auto"/>
        <w:tblInd w:w="680" w:type="dxa"/>
        <w:tblLook w:val="04A0" w:firstRow="1" w:lastRow="0" w:firstColumn="1" w:lastColumn="0" w:noHBand="0" w:noVBand="1"/>
      </w:tblPr>
      <w:tblGrid>
        <w:gridCol w:w="8336"/>
      </w:tblGrid>
      <w:tr w:rsidR="003005AD" w:rsidTr="003005AD" w14:paraId="36064AF6" w14:textId="77777777">
        <w:tc>
          <w:tcPr>
            <w:tcW w:w="9016" w:type="dxa"/>
          </w:tcPr>
          <w:p w:rsidRPr="003005AD" w:rsidR="003005AD" w:rsidP="003005AD" w:rsidRDefault="003005AD" w14:paraId="47E765F9" w14:textId="77777777">
            <w:pPr>
              <w:pStyle w:val="MainBullet"/>
              <w:numPr>
                <w:ilvl w:val="0"/>
                <w:numId w:val="42"/>
              </w:numPr>
              <w:rPr>
                <w:i/>
                <w:sz w:val="18"/>
                <w:szCs w:val="18"/>
              </w:rPr>
            </w:pPr>
            <w:r w:rsidRPr="003005AD">
              <w:rPr>
                <w:i/>
                <w:sz w:val="18"/>
                <w:szCs w:val="18"/>
              </w:rPr>
              <w:t xml:space="preserve">9.1(b): Reference to progression agreement added to address cases where candidates are admitted to a later level of programme (i.e., Diploma). Progression agreements are as approved by the University (partnerships are approved by PVC (edu) after consulting with Deans and resulting collaborative activities are approved by PVC (edu) on the advice of EPC) and published in the Collaborative Provision Register. </w:t>
            </w:r>
          </w:p>
          <w:p w:rsidR="003005AD" w:rsidP="003005AD" w:rsidRDefault="003005AD" w14:paraId="3E17E704" w14:textId="133FCF89">
            <w:pPr>
              <w:pStyle w:val="MainBullet"/>
              <w:numPr>
                <w:ilvl w:val="0"/>
                <w:numId w:val="42"/>
              </w:numPr>
              <w:rPr>
                <w:lang w:val="en-GB" w:eastAsia="zh-CN"/>
              </w:rPr>
            </w:pPr>
            <w:r w:rsidRPr="003005AD">
              <w:rPr>
                <w:i/>
                <w:sz w:val="18"/>
                <w:szCs w:val="18"/>
                <w:lang w:val="en-GB" w:eastAsia="zh-CN"/>
              </w:rPr>
              <w:t xml:space="preserve">Progression agreements </w:t>
            </w:r>
            <w:r w:rsidRPr="003005AD">
              <w:rPr>
                <w:b/>
                <w:i/>
                <w:sz w:val="18"/>
                <w:szCs w:val="18"/>
                <w:lang w:val="en-GB" w:eastAsia="zh-CN"/>
              </w:rPr>
              <w:t>must</w:t>
            </w:r>
            <w:r w:rsidRPr="003005AD">
              <w:rPr>
                <w:i/>
                <w:sz w:val="18"/>
                <w:szCs w:val="18"/>
                <w:lang w:val="en-GB" w:eastAsia="zh-CN"/>
              </w:rPr>
              <w:t xml:space="preserve"> specify entry requirements, especially for international students, as visa applications may depend on demonstrating adherence to requirements such as English language skills.</w:t>
            </w:r>
          </w:p>
        </w:tc>
      </w:tr>
    </w:tbl>
    <w:p w:rsidRPr="00077D54" w:rsidR="003005AD" w:rsidP="003005AD" w:rsidRDefault="003005AD" w14:paraId="52EDB11B" w14:textId="77777777">
      <w:pPr>
        <w:pStyle w:val="MainBullet"/>
        <w:numPr>
          <w:ilvl w:val="0"/>
          <w:numId w:val="0"/>
        </w:numPr>
        <w:ind w:left="680" w:hanging="680"/>
        <w:rPr>
          <w:lang w:val="en-GB" w:eastAsia="zh-CN"/>
        </w:rPr>
      </w:pPr>
    </w:p>
    <w:p w:rsidRPr="00077D54" w:rsidR="00077D54" w:rsidP="00077D54" w:rsidRDefault="00077D54" w14:paraId="1CB44FF1" w14:textId="77777777">
      <w:pPr>
        <w:pStyle w:val="Heading1"/>
      </w:pPr>
      <w:bookmarkStart w:name="_Toc173339506" w:id="13"/>
      <w:r w:rsidRPr="00077D54">
        <w:t>Recognition of Prior Learning</w:t>
      </w:r>
      <w:bookmarkEnd w:id="13"/>
      <w:r w:rsidRPr="00077D54">
        <w:t xml:space="preserve"> </w:t>
      </w:r>
    </w:p>
    <w:p w:rsidRPr="00077D54" w:rsidR="00077D54" w:rsidP="00077D54" w:rsidRDefault="00077D54" w14:paraId="4C6B987B" w14:textId="77777777">
      <w:pPr>
        <w:pStyle w:val="MainBullet"/>
        <w:rPr>
          <w:lang w:val="en-GB" w:eastAsia="zh-CN"/>
        </w:rPr>
      </w:pPr>
      <w:r w:rsidRPr="00077D54">
        <w:rPr>
          <w:lang w:val="en-GB" w:eastAsia="zh-CN"/>
        </w:rPr>
        <w:t xml:space="preserve">The University will accept credits for general transfer, awarded by other Universities, or awarded by this University, in recognition of prior learning (RPL). </w:t>
      </w:r>
    </w:p>
    <w:p w:rsidRPr="00077D54" w:rsidR="00077D54" w:rsidP="00077D54" w:rsidRDefault="00077D54" w14:paraId="56C58EE8" w14:textId="77777777">
      <w:pPr>
        <w:pStyle w:val="MainBullet"/>
        <w:rPr>
          <w:lang w:val="en-GB" w:eastAsia="zh-CN"/>
        </w:rPr>
      </w:pPr>
      <w:r w:rsidRPr="00077D54">
        <w:rPr>
          <w:lang w:val="en-GB" w:eastAsia="zh-CN"/>
        </w:rPr>
        <w:t xml:space="preserve">The University will also consider applications for recognition of prior experiential learning. </w:t>
      </w:r>
    </w:p>
    <w:p w:rsidRPr="00077D54" w:rsidR="00077D54" w:rsidP="00077D54" w:rsidRDefault="00077D54" w14:paraId="74084D85" w14:textId="77777777">
      <w:pPr>
        <w:pStyle w:val="MainBullet"/>
        <w:rPr>
          <w:lang w:val="en-GB" w:eastAsia="zh-CN"/>
        </w:rPr>
      </w:pPr>
      <w:r w:rsidRPr="00077D54">
        <w:rPr>
          <w:lang w:val="en-GB" w:eastAsia="zh-CN"/>
        </w:rPr>
        <w:t>The acceptance of applications for recognition of prior certificated or experiential learning relating to a specific programme shall be subject to the approval of the Dean of the relevant faculty in accordance with the relevant University code of practice.</w:t>
      </w:r>
    </w:p>
    <w:p w:rsidRPr="00B31E6D" w:rsidR="00B31E6D" w:rsidP="00B31E6D" w:rsidRDefault="00B31E6D" w14:paraId="42C8E434" w14:textId="77777777">
      <w:pPr>
        <w:pStyle w:val="MainBullet"/>
        <w:rPr>
          <w:lang w:val="en-GB" w:eastAsia="zh-CN"/>
        </w:rPr>
      </w:pPr>
      <w:r w:rsidRPr="00B31E6D">
        <w:rPr>
          <w:lang w:val="en-GB" w:eastAsia="zh-CN"/>
        </w:rPr>
        <w:t>10.3 shall be read subject to the requirement that a candidate shall have been awarded at least 60 credits by this University representing the final 60 credits of the award sought.</w:t>
      </w:r>
    </w:p>
    <w:tbl>
      <w:tblPr>
        <w:tblStyle w:val="TableGrid"/>
        <w:tblW w:w="0" w:type="auto"/>
        <w:tblInd w:w="680" w:type="dxa"/>
        <w:tblLook w:val="04A0" w:firstRow="1" w:lastRow="0" w:firstColumn="1" w:lastColumn="0" w:noHBand="0" w:noVBand="1"/>
      </w:tblPr>
      <w:tblGrid>
        <w:gridCol w:w="8336"/>
      </w:tblGrid>
      <w:tr w:rsidR="00CD6266" w:rsidTr="00CD6266" w14:paraId="73641744" w14:textId="77777777">
        <w:tc>
          <w:tcPr>
            <w:tcW w:w="9016" w:type="dxa"/>
          </w:tcPr>
          <w:p w:rsidR="00B31E6D" w:rsidP="00B31E6D" w:rsidRDefault="00B31E6D" w14:paraId="067FF0D1" w14:textId="77777777">
            <w:pPr>
              <w:pStyle w:val="MainBullet"/>
              <w:numPr>
                <w:ilvl w:val="0"/>
                <w:numId w:val="43"/>
              </w:numPr>
              <w:rPr>
                <w:i/>
                <w:iCs/>
                <w:sz w:val="18"/>
                <w:szCs w:val="18"/>
                <w:lang w:val="en-GB" w:eastAsia="zh-CN"/>
              </w:rPr>
            </w:pPr>
            <w:r w:rsidRPr="00B31E6D">
              <w:rPr>
                <w:i/>
                <w:iCs/>
                <w:sz w:val="18"/>
                <w:szCs w:val="18"/>
                <w:lang w:val="en-GB" w:eastAsia="zh-CN"/>
              </w:rPr>
              <w:t>Credit awarded other than by the University of Hull is not counted towards weighted averages for purposes of determining progression (reg.24). There is therefore no need to record marks awarded or a mark ‘equivalence’ for such credit; such references have therefore been removed.</w:t>
            </w:r>
          </w:p>
          <w:p w:rsidRPr="00B31E6D" w:rsidR="00CD6266" w:rsidP="00B31E6D" w:rsidRDefault="00B31E6D" w14:paraId="58FCC024" w14:textId="5DCFC330">
            <w:pPr>
              <w:pStyle w:val="MainBullet"/>
              <w:numPr>
                <w:ilvl w:val="0"/>
                <w:numId w:val="43"/>
              </w:numPr>
              <w:rPr>
                <w:i/>
                <w:iCs/>
                <w:sz w:val="18"/>
                <w:szCs w:val="18"/>
                <w:lang w:val="en-GB" w:eastAsia="zh-CN"/>
              </w:rPr>
            </w:pPr>
            <w:r w:rsidRPr="00B31E6D">
              <w:rPr>
                <w:i/>
                <w:iCs/>
                <w:sz w:val="18"/>
                <w:szCs w:val="18"/>
                <w:lang w:val="en-GB" w:eastAsia="zh-CN"/>
              </w:rPr>
              <w:t>‘Final 60 credits’ – the Diploma level.</w:t>
            </w:r>
          </w:p>
        </w:tc>
      </w:tr>
    </w:tbl>
    <w:p w:rsidRPr="00077D54" w:rsidR="00CD6266" w:rsidP="00CD6266" w:rsidRDefault="00CD6266" w14:paraId="30EA2C26" w14:textId="77777777">
      <w:pPr>
        <w:pStyle w:val="MainBullet"/>
        <w:numPr>
          <w:ilvl w:val="0"/>
          <w:numId w:val="0"/>
        </w:numPr>
        <w:rPr>
          <w:lang w:val="en-GB" w:eastAsia="zh-CN"/>
        </w:rPr>
      </w:pPr>
    </w:p>
    <w:p w:rsidRPr="00077D54" w:rsidR="00077D54" w:rsidP="00077D54" w:rsidRDefault="00077D54" w14:paraId="6C4A4D14" w14:textId="77777777">
      <w:pPr>
        <w:pStyle w:val="Heading1"/>
        <w:numPr>
          <w:ilvl w:val="0"/>
          <w:numId w:val="0"/>
        </w:numPr>
        <w:ind w:left="680"/>
      </w:pPr>
      <w:bookmarkStart w:name="_Toc173339507" w:id="14"/>
      <w:r w:rsidRPr="00077D54">
        <w:lastRenderedPageBreak/>
        <w:t>ENROLMENT FOR PROGRAMMES AND MODULES</w:t>
      </w:r>
      <w:bookmarkEnd w:id="14"/>
    </w:p>
    <w:p w:rsidRPr="00077D54" w:rsidR="00077D54" w:rsidP="00077D54" w:rsidRDefault="00077D54" w14:paraId="797BEB34" w14:textId="77777777">
      <w:pPr>
        <w:pStyle w:val="Heading1"/>
      </w:pPr>
      <w:bookmarkStart w:name="_Toc173339508" w:id="15"/>
      <w:r w:rsidRPr="00077D54">
        <w:t>Programme of study requirements</w:t>
      </w:r>
      <w:bookmarkEnd w:id="15"/>
    </w:p>
    <w:p w:rsidRPr="006C2ED6" w:rsidR="006C2ED6" w:rsidP="006C2ED6" w:rsidRDefault="006C2ED6" w14:paraId="154BC80E" w14:textId="77777777">
      <w:pPr>
        <w:pStyle w:val="MainBullet"/>
        <w:rPr>
          <w:lang w:val="en-GB" w:eastAsia="zh-CN"/>
        </w:rPr>
      </w:pPr>
      <w:r w:rsidRPr="006C2ED6">
        <w:rPr>
          <w:lang w:val="en-GB" w:eastAsia="zh-CN"/>
        </w:rPr>
        <w:t>Candidates shall select modules in accordance with the instructions specified in the programme for which they are enrolled.</w:t>
      </w:r>
    </w:p>
    <w:p w:rsidRPr="006C2ED6" w:rsidR="006C2ED6" w:rsidP="006C2ED6" w:rsidRDefault="006C2ED6" w14:paraId="17468DAA" w14:textId="77777777">
      <w:pPr>
        <w:pStyle w:val="MainBullet"/>
        <w:rPr>
          <w:lang w:val="en-GB" w:eastAsia="zh-CN"/>
        </w:rPr>
      </w:pPr>
      <w:r w:rsidRPr="006C2ED6">
        <w:rPr>
          <w:lang w:val="en-GB" w:eastAsia="zh-CN"/>
        </w:rPr>
        <w:t>A candidate shall not be permitted to undertake more than 120 credits specified in a programme other than with the express approval of the Student Cases Committee. Where such approval is granted, the candidate shall be required to pass all credits attempted to proceed to the award.</w:t>
      </w:r>
    </w:p>
    <w:p w:rsidRPr="006C2ED6" w:rsidR="006C2ED6" w:rsidP="006C2ED6" w:rsidRDefault="006C2ED6" w14:paraId="08B57EAA" w14:textId="77777777">
      <w:pPr>
        <w:pStyle w:val="MainBullet"/>
        <w:rPr>
          <w:lang w:val="en-GB" w:eastAsia="zh-CN"/>
        </w:rPr>
      </w:pPr>
      <w:r w:rsidRPr="006C2ED6">
        <w:rPr>
          <w:lang w:val="en-GB" w:eastAsia="zh-CN"/>
        </w:rPr>
        <w:t>All University of Hull programmes are premised on the need to pass all credits undertaken except where condonement is applied.</w:t>
      </w:r>
    </w:p>
    <w:p w:rsidRPr="006C2ED6" w:rsidR="006C2ED6" w:rsidP="006C2ED6" w:rsidRDefault="006C2ED6" w14:paraId="35C8F34F" w14:textId="77777777">
      <w:pPr>
        <w:pStyle w:val="MainBullet"/>
        <w:rPr>
          <w:lang w:val="en-GB" w:eastAsia="zh-CN"/>
        </w:rPr>
      </w:pPr>
      <w:r w:rsidRPr="006C2ED6">
        <w:rPr>
          <w:lang w:val="en-GB" w:eastAsia="zh-CN"/>
        </w:rPr>
        <w:t>All credits achieved over and above the 120 credits are used in calculating any weighted average.</w:t>
      </w:r>
    </w:p>
    <w:p w:rsidRPr="006C2ED6" w:rsidR="00CD6266" w:rsidP="006C2ED6" w:rsidRDefault="006C2ED6" w14:paraId="0D9DC37A" w14:textId="0A12E2E8">
      <w:pPr>
        <w:pStyle w:val="MainBullet"/>
      </w:pPr>
      <w:r w:rsidRPr="006C2ED6">
        <w:t>A candidate who, for valid academic reasons, wishes to vary the weighting of modules between trimesters, may apply to the Head of Academic Unit for permission to take modules</w:t>
      </w:r>
      <w:r>
        <w:t xml:space="preserve"> </w:t>
      </w:r>
      <w:r w:rsidRPr="006C2ED6">
        <w:t xml:space="preserve">weighted 50/70, 70/50 or 60/60. Permission shall only be granted where the Head of Academic Unit is satisfied that the candidate fully understands the workload implications of the request. In deciding whether to grant permission the Head of Academic Unit shall take account of to which level of the programme the application relates and </w:t>
      </w:r>
      <w:r w:rsidRPr="007D2DBD">
        <w:rPr>
          <w:b/>
          <w:bCs w:val="0"/>
        </w:rPr>
        <w:t>must</w:t>
      </w:r>
      <w:r w:rsidRPr="006C2ED6">
        <w:t xml:space="preserve"> be satisfied that the combination of modules can be taken within the timetable as published. Decisions shall be monitored by the Faculty Education and Student Experience Committee. </w:t>
      </w:r>
    </w:p>
    <w:p w:rsidRPr="00CD6266" w:rsidR="00CD6266" w:rsidP="00CD6266" w:rsidRDefault="00CD6266" w14:paraId="1E8FA50F" w14:textId="42B750A6">
      <w:pPr>
        <w:pStyle w:val="Heading1"/>
        <w:numPr>
          <w:ilvl w:val="0"/>
          <w:numId w:val="0"/>
        </w:numPr>
        <w:ind w:left="680"/>
      </w:pPr>
      <w:bookmarkStart w:name="_Toc173339509" w:id="16"/>
      <w:r w:rsidRPr="00CD6266">
        <w:t>SUSPENSION OF STUDY AND REPEAT PERIODS</w:t>
      </w:r>
      <w:bookmarkEnd w:id="16"/>
    </w:p>
    <w:p w:rsidRPr="00CD6266" w:rsidR="00CD6266" w:rsidP="00CD6266" w:rsidRDefault="00CD6266" w14:paraId="07BBF696" w14:textId="77777777">
      <w:pPr>
        <w:pStyle w:val="Heading1"/>
      </w:pPr>
      <w:bookmarkStart w:name="_Toc173339510" w:id="17"/>
      <w:r w:rsidRPr="00CD6266">
        <w:t>Permitted duration for the accumulation of credits</w:t>
      </w:r>
      <w:bookmarkEnd w:id="17"/>
    </w:p>
    <w:p w:rsidRPr="00CD6266" w:rsidR="00CD6266" w:rsidP="00CD6266" w:rsidRDefault="00CD6266" w14:paraId="50EF8C91" w14:textId="77777777">
      <w:pPr>
        <w:pStyle w:val="MainBullet"/>
        <w:rPr>
          <w:lang w:val="en-GB" w:eastAsia="zh-CN"/>
        </w:rPr>
      </w:pPr>
      <w:r w:rsidRPr="00CD6266">
        <w:rPr>
          <w:lang w:val="en-GB" w:eastAsia="zh-CN"/>
        </w:rPr>
        <w:t xml:space="preserve">Where a candidate is permitted to extend their period of study through the grant of an extension or for a suspension of study or similar circumstances, such extension is subject to the overriding requirement that each level of the programme of study </w:t>
      </w:r>
      <w:r w:rsidRPr="00B01082">
        <w:rPr>
          <w:b/>
          <w:bCs w:val="0"/>
          <w:lang w:val="en-GB" w:eastAsia="zh-CN"/>
        </w:rPr>
        <w:t>must</w:t>
      </w:r>
      <w:r w:rsidRPr="00CD6266">
        <w:rPr>
          <w:lang w:val="en-GB" w:eastAsia="zh-CN"/>
        </w:rPr>
        <w:t xml:space="preserve"> be completed within a period of three years.</w:t>
      </w:r>
    </w:p>
    <w:p w:rsidRPr="00927308" w:rsidR="00927308" w:rsidP="00927308" w:rsidRDefault="00927308" w14:paraId="528CF39E" w14:textId="77777777">
      <w:pPr>
        <w:pStyle w:val="Heading1"/>
      </w:pPr>
      <w:bookmarkStart w:name="_Toc173339511" w:id="18"/>
      <w:r w:rsidRPr="00927308">
        <w:t>Suspension of study</w:t>
      </w:r>
      <w:bookmarkEnd w:id="18"/>
      <w:r w:rsidRPr="00927308">
        <w:t xml:space="preserve"> </w:t>
      </w:r>
    </w:p>
    <w:p w:rsidRPr="00927308" w:rsidR="00927308" w:rsidP="00927308" w:rsidRDefault="00927308" w14:paraId="046ACF5E" w14:textId="75BBCFC6">
      <w:pPr>
        <w:pStyle w:val="MainBullet"/>
        <w:rPr>
          <w:lang w:val="en-GB" w:eastAsia="zh-CN"/>
        </w:rPr>
      </w:pPr>
      <w:r w:rsidRPr="00927308">
        <w:rPr>
          <w:lang w:val="en-GB" w:eastAsia="zh-CN"/>
        </w:rPr>
        <w:t>Subject to Regulation ‎1</w:t>
      </w:r>
      <w:r w:rsidR="009A3A7F">
        <w:rPr>
          <w:lang w:val="en-GB" w:eastAsia="zh-CN"/>
        </w:rPr>
        <w:t>2</w:t>
      </w:r>
      <w:r w:rsidRPr="00927308">
        <w:rPr>
          <w:lang w:val="en-GB" w:eastAsia="zh-CN"/>
        </w:rPr>
        <w:t xml:space="preserve">.1 above, a candidate may suspend their studies by making a written application to their personal supervisor and subject to the approval of the Head of Academic Unit for periods not exceeding 12 months, and approval of the Student Cases Committee for periods of more than 12 months. </w:t>
      </w:r>
    </w:p>
    <w:p w:rsidRPr="00927308" w:rsidR="00927308" w:rsidP="00927308" w:rsidRDefault="00927308" w14:paraId="10A1E9E5" w14:textId="77777777">
      <w:pPr>
        <w:pStyle w:val="MainBullet"/>
        <w:rPr>
          <w:lang w:val="en-GB" w:eastAsia="zh-CN"/>
        </w:rPr>
      </w:pPr>
      <w:r w:rsidRPr="00927308">
        <w:rPr>
          <w:lang w:val="en-GB" w:eastAsia="zh-CN"/>
        </w:rPr>
        <w:t>A suspension of study may be permitted for personal/medical reasons and for other circumstances, for example a candidate wishing to spend a period abroad or in industry, which is not part of the programme of study they are following.</w:t>
      </w:r>
    </w:p>
    <w:p w:rsidRPr="00927308" w:rsidR="00927308" w:rsidP="00927308" w:rsidRDefault="00927308" w14:paraId="2E96B821" w14:textId="77777777">
      <w:pPr>
        <w:pStyle w:val="MainBullet"/>
        <w:rPr>
          <w:lang w:val="en-GB" w:eastAsia="zh-CN"/>
        </w:rPr>
      </w:pPr>
      <w:r w:rsidRPr="00927308">
        <w:rPr>
          <w:lang w:val="en-GB" w:eastAsia="zh-CN"/>
        </w:rPr>
        <w:t>A suspension of study may be required for students who need a period of suspension to complete outstanding assessments.</w:t>
      </w:r>
    </w:p>
    <w:p w:rsidRPr="00927308" w:rsidR="00927308" w:rsidP="00927308" w:rsidRDefault="00927308" w14:paraId="20C4EB16" w14:textId="77777777">
      <w:pPr>
        <w:pStyle w:val="MainBullet"/>
        <w:rPr>
          <w:lang w:val="en-GB" w:eastAsia="zh-CN"/>
        </w:rPr>
      </w:pPr>
      <w:r w:rsidRPr="00927308">
        <w:rPr>
          <w:lang w:val="en-GB" w:eastAsia="zh-CN"/>
        </w:rPr>
        <w:t xml:space="preserve">Where a candidate is due to return to study in the next academic year and does not re-enrol or request an extension to their period of suspended study, then they shall be deemed to have withdrawn. Candidates will be contacted immediately after the latest start date to confirm their intentions. Where a candidate does not respond by the stated deadline or indicates they will not be returning, then they will be awarded based on the </w:t>
      </w:r>
      <w:r w:rsidRPr="00927308">
        <w:rPr>
          <w:lang w:val="en-GB" w:eastAsia="zh-CN"/>
        </w:rPr>
        <w:lastRenderedPageBreak/>
        <w:t xml:space="preserve">number of credits accumulated. </w:t>
      </w:r>
    </w:p>
    <w:p w:rsidRPr="00927308" w:rsidR="00927308" w:rsidP="00927308" w:rsidRDefault="00927308" w14:paraId="3D7B7B0E" w14:textId="77777777">
      <w:pPr>
        <w:pStyle w:val="Heading1"/>
      </w:pPr>
      <w:bookmarkStart w:name="_Toc173339512" w:id="19"/>
      <w:r w:rsidRPr="00927308">
        <w:t>Suspension of study on grounds of risk</w:t>
      </w:r>
      <w:bookmarkEnd w:id="19"/>
    </w:p>
    <w:p w:rsidRPr="00927308" w:rsidR="00927308" w:rsidP="00927308" w:rsidRDefault="00927308" w14:paraId="452C9D6E" w14:textId="77777777">
      <w:pPr>
        <w:pStyle w:val="MainBullet"/>
        <w:rPr>
          <w:lang w:val="en-GB" w:eastAsia="zh-CN"/>
        </w:rPr>
      </w:pPr>
      <w:r w:rsidRPr="00927308">
        <w:rPr>
          <w:lang w:val="en-GB" w:eastAsia="zh-CN"/>
        </w:rP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Pr="00927308" w:rsidR="00927308" w:rsidP="00927308" w:rsidRDefault="00927308" w14:paraId="5BA05A87" w14:textId="77777777">
      <w:pPr>
        <w:pStyle w:val="MainBullet"/>
        <w:rPr>
          <w:lang w:val="en-GB" w:eastAsia="zh-CN"/>
        </w:rPr>
      </w:pPr>
      <w:r w:rsidRPr="00927308">
        <w:rPr>
          <w:lang w:val="en-GB" w:eastAsia="zh-CN"/>
        </w:rPr>
        <w:t>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assessment shall be deemed justification in itself for the candidate being required to suspend their studies.</w:t>
      </w:r>
    </w:p>
    <w:p w:rsidRPr="00927308" w:rsidR="00927308" w:rsidP="00927308" w:rsidRDefault="00927308" w14:paraId="0AAF1AB4" w14:textId="77777777">
      <w:pPr>
        <w:pStyle w:val="MainBullet"/>
        <w:rPr>
          <w:lang w:val="en-GB" w:eastAsia="zh-CN"/>
        </w:rPr>
      </w:pPr>
      <w:r w:rsidRPr="00927308">
        <w:rPr>
          <w:lang w:val="en-GB" w:eastAsia="zh-CN"/>
        </w:rP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Pr="00927308" w:rsidR="00927308" w:rsidP="00927308" w:rsidRDefault="00927308" w14:paraId="7AA02708" w14:textId="77777777">
      <w:pPr>
        <w:pStyle w:val="MainBullet"/>
        <w:rPr>
          <w:lang w:val="en-GB" w:eastAsia="zh-CN"/>
        </w:rPr>
      </w:pPr>
      <w:r w:rsidRPr="00927308">
        <w:rPr>
          <w:lang w:val="en-GB" w:eastAsia="zh-CN"/>
        </w:rPr>
        <w:t>A candidate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Pr="00927308" w:rsidR="00927308" w:rsidP="00927308" w:rsidRDefault="00927308" w14:paraId="6D064E39" w14:textId="77777777">
      <w:pPr>
        <w:pStyle w:val="MainBullet"/>
        <w:rPr>
          <w:lang w:val="en-GB" w:eastAsia="zh-CN"/>
        </w:rPr>
      </w:pPr>
      <w:r w:rsidRPr="00927308">
        <w:rPr>
          <w:lang w:val="en-GB" w:eastAsia="zh-CN"/>
        </w:rPr>
        <w:t>The decision to require suspension of study shall be effective once made and notified to the candidate in writing by recorded delivery to such addresses as recorded on the University Student Information System at the time, and unless and until any appeal is heard and allowed.</w:t>
      </w:r>
    </w:p>
    <w:p w:rsidRPr="00927308" w:rsidR="00927308" w:rsidP="00927308" w:rsidRDefault="00927308" w14:paraId="130B9C77" w14:textId="77777777">
      <w:pPr>
        <w:pStyle w:val="MainBullet"/>
        <w:rPr>
          <w:lang w:val="en-GB" w:eastAsia="zh-CN"/>
        </w:rPr>
      </w:pPr>
      <w:r w:rsidRPr="00927308">
        <w:rPr>
          <w:lang w:val="en-GB" w:eastAsia="zh-CN"/>
        </w:rPr>
        <w:t>A candidate who is required to suspend studies in accordance with this Regulation shall not be regarded as a student at the University during the period of suspension and shall not be entitled to use University facilities and services or be present on the University campuses.</w:t>
      </w:r>
    </w:p>
    <w:p w:rsidRPr="00927308" w:rsidR="00927308" w:rsidP="00927308" w:rsidRDefault="00927308" w14:paraId="3F7E4F62" w14:textId="77777777">
      <w:pPr>
        <w:pStyle w:val="MainBullet"/>
        <w:rPr>
          <w:lang w:val="en-GB" w:eastAsia="zh-CN"/>
        </w:rPr>
      </w:pPr>
      <w:r w:rsidRPr="00927308">
        <w:rPr>
          <w:lang w:val="en-GB" w:eastAsia="zh-CN"/>
        </w:rPr>
        <w:t xml:space="preserve">A candidate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candidate has ongoing support needs these </w:t>
      </w:r>
      <w:r w:rsidRPr="00B01082">
        <w:rPr>
          <w:b/>
          <w:bCs w:val="0"/>
          <w:lang w:val="en-GB" w:eastAsia="zh-CN"/>
        </w:rPr>
        <w:t>should</w:t>
      </w:r>
      <w:r w:rsidRPr="00927308">
        <w:rPr>
          <w:lang w:val="en-GB" w:eastAsia="zh-CN"/>
        </w:rPr>
        <w:t xml:space="preserve"> be documented along with an agreement as to who will be responsible for providing this support. This agreement may be made with Student Support and Experience or with external agencies and seen by Student Support and Experience. This evidence </w:t>
      </w:r>
      <w:r w:rsidRPr="00B01082">
        <w:rPr>
          <w:b/>
          <w:bCs w:val="0"/>
          <w:lang w:val="en-GB" w:eastAsia="zh-CN"/>
        </w:rPr>
        <w:t>should</w:t>
      </w:r>
      <w:r w:rsidRPr="00927308">
        <w:rPr>
          <w:lang w:val="en-GB" w:eastAsia="zh-CN"/>
        </w:rPr>
        <w:t xml:space="preserve"> be submitted to the candidate’s Head of Academic Unit and forwarded for the chair of the Student Cases Committee or Research Degrees Committee. The chair shall determine whether the candidate is permitted to resume their studies taking such advice as they deem necessary in making the decision.</w:t>
      </w:r>
    </w:p>
    <w:p w:rsidRPr="00927308" w:rsidR="00927308" w:rsidP="00927308" w:rsidRDefault="00927308" w14:paraId="3E264EC6" w14:textId="77777777">
      <w:pPr>
        <w:pStyle w:val="MainBullet"/>
        <w:rPr>
          <w:lang w:val="en-GB" w:eastAsia="zh-CN"/>
        </w:rPr>
      </w:pPr>
      <w:r w:rsidRPr="00927308">
        <w:rPr>
          <w:lang w:val="en-GB" w:eastAsia="zh-CN"/>
        </w:rPr>
        <w:t>Any decision to require suspension of study, the outcome of any appeal, and the decision to allow the candidate to resume their studies shall be communicated to the candidate in writing by recorded delivery within three working days of the decision being made.</w:t>
      </w:r>
    </w:p>
    <w:p w:rsidRPr="00927308" w:rsidR="00927308" w:rsidP="00927308" w:rsidRDefault="00927308" w14:paraId="4F5DDEC2" w14:textId="77777777">
      <w:pPr>
        <w:pStyle w:val="Heading1"/>
      </w:pPr>
      <w:bookmarkStart w:name="_Toc173339513" w:id="20"/>
      <w:r w:rsidRPr="00927308">
        <w:lastRenderedPageBreak/>
        <w:t>Repeating a level/year</w:t>
      </w:r>
      <w:bookmarkEnd w:id="20"/>
    </w:p>
    <w:p w:rsidRPr="00927308" w:rsidR="00927308" w:rsidP="00927308" w:rsidRDefault="00927308" w14:paraId="5F37A532" w14:textId="77777777">
      <w:pPr>
        <w:pStyle w:val="MainBullet"/>
        <w:rPr>
          <w:lang w:val="en-GB" w:eastAsia="zh-CN"/>
        </w:rPr>
      </w:pPr>
      <w:r w:rsidRPr="00927308">
        <w:rPr>
          <w:lang w:val="en-GB" w:eastAsia="zh-CN"/>
        </w:rPr>
        <w:t xml:space="preserve">A candidate shall not be permitted to repeat a level/year or enrol for the programme as new other than with the approval of the Student Cases Committee. </w:t>
      </w:r>
    </w:p>
    <w:p w:rsidRPr="00927308" w:rsidR="00927308" w:rsidP="00927308" w:rsidRDefault="00927308" w14:paraId="74C95E81" w14:textId="77777777">
      <w:pPr>
        <w:pStyle w:val="MainBullet"/>
        <w:rPr>
          <w:lang w:val="en-GB" w:eastAsia="zh-CN"/>
        </w:rPr>
      </w:pPr>
      <w:r w:rsidRPr="00927308">
        <w:rPr>
          <w:lang w:val="en-GB" w:eastAsia="zh-CN"/>
        </w:rPr>
        <w:t>Where a repeat is permitted, all credits gained during the original attempt shall cease to count towards the programme, and the entire year shall be repeated. Any marks awarded during the original attempt shall not appear on the candidate’s official transcript.</w:t>
      </w:r>
    </w:p>
    <w:p w:rsidR="00927308" w:rsidP="00927308" w:rsidRDefault="00927308" w14:paraId="6C3B77EB" w14:textId="77777777">
      <w:pPr>
        <w:pStyle w:val="MainBullet"/>
        <w:rPr>
          <w:lang w:val="en-GB" w:eastAsia="zh-CN"/>
        </w:rPr>
      </w:pPr>
      <w:r w:rsidRPr="00927308">
        <w:rPr>
          <w:lang w:val="en-GB" w:eastAsia="zh-CN"/>
        </w:rPr>
        <w:t>A candidate may apply to repeat a year due to exceptional personal/medical reasons and/or academic failure.</w:t>
      </w:r>
    </w:p>
    <w:p w:rsidRPr="009541B4" w:rsidR="009541B4" w:rsidP="009541B4" w:rsidRDefault="009541B4" w14:paraId="7545F919" w14:textId="77777777">
      <w:pPr>
        <w:pStyle w:val="Heading1"/>
      </w:pPr>
      <w:bookmarkStart w:name="_Toc173339514" w:id="21"/>
      <w:r w:rsidRPr="009541B4">
        <w:t>Interim awards following withdrawal</w:t>
      </w:r>
      <w:bookmarkEnd w:id="21"/>
    </w:p>
    <w:p w:rsidRPr="009541B4" w:rsidR="009541B4" w:rsidP="009541B4" w:rsidRDefault="009541B4" w14:paraId="18723C3B" w14:textId="77777777">
      <w:pPr>
        <w:pStyle w:val="MainBullet"/>
        <w:rPr>
          <w:lang w:val="en-GB" w:eastAsia="zh-CN"/>
        </w:rPr>
      </w:pPr>
      <w:r w:rsidRPr="009541B4">
        <w:rPr>
          <w:lang w:val="en-GB" w:eastAsia="zh-CN"/>
        </w:rPr>
        <w:t xml:space="preserve">Candidates may withdraw from a programme of study and, subject to 16.2 and 16.3, shall be awarded a Postgraduate or Graduate Certificate with at least 60 credits. </w:t>
      </w:r>
    </w:p>
    <w:p w:rsidRPr="009541B4" w:rsidR="009541B4" w:rsidP="009541B4" w:rsidRDefault="009541B4" w14:paraId="717D588E" w14:textId="77777777">
      <w:pPr>
        <w:pStyle w:val="MainBullet"/>
        <w:rPr>
          <w:lang w:val="en-GB" w:eastAsia="zh-CN"/>
        </w:rPr>
      </w:pPr>
      <w:r w:rsidRPr="009541B4">
        <w:rPr>
          <w:lang w:val="en-GB" w:eastAsia="zh-CN"/>
        </w:rPr>
        <w:t>Any award under 16.1 shall be subject to a minimum of 60 credits having been awarded by this University. The 60 credits will be in the final level of the award.</w:t>
      </w:r>
    </w:p>
    <w:p w:rsidRPr="009541B4" w:rsidR="009541B4" w:rsidP="009541B4" w:rsidRDefault="009541B4" w14:paraId="70BB3778" w14:textId="77777777">
      <w:pPr>
        <w:pStyle w:val="MainBullet"/>
        <w:rPr>
          <w:lang w:val="en-GB" w:eastAsia="zh-CN"/>
        </w:rPr>
      </w:pPr>
      <w:r w:rsidRPr="009541B4">
        <w:rPr>
          <w:lang w:val="en-GB" w:eastAsia="zh-CN"/>
        </w:rPr>
        <w:t>Any award under this Regulation shall be made provided that Certificates for professional programmes shall not be awarded in a named subject which implies that the candidate is entitled to practise that profession.</w:t>
      </w:r>
    </w:p>
    <w:tbl>
      <w:tblPr>
        <w:tblStyle w:val="TableGrid"/>
        <w:tblW w:w="0" w:type="auto"/>
        <w:tblInd w:w="680" w:type="dxa"/>
        <w:tblLook w:val="04A0" w:firstRow="1" w:lastRow="0" w:firstColumn="1" w:lastColumn="0" w:noHBand="0" w:noVBand="1"/>
      </w:tblPr>
      <w:tblGrid>
        <w:gridCol w:w="8336"/>
      </w:tblGrid>
      <w:tr w:rsidR="009541B4" w:rsidTr="009541B4" w14:paraId="007E8647" w14:textId="77777777">
        <w:tc>
          <w:tcPr>
            <w:tcW w:w="9016" w:type="dxa"/>
          </w:tcPr>
          <w:p w:rsidRPr="009541B4" w:rsidR="009541B4" w:rsidP="009541B4" w:rsidRDefault="009541B4" w14:paraId="4803D2A4" w14:textId="77777777">
            <w:pPr>
              <w:pStyle w:val="MainBullet"/>
              <w:numPr>
                <w:ilvl w:val="0"/>
                <w:numId w:val="44"/>
              </w:numPr>
              <w:rPr>
                <w:i/>
                <w:iCs/>
                <w:sz w:val="18"/>
                <w:szCs w:val="18"/>
                <w:lang w:val="en-GB" w:eastAsia="zh-CN"/>
              </w:rPr>
            </w:pPr>
            <w:r w:rsidRPr="009541B4">
              <w:rPr>
                <w:i/>
                <w:iCs/>
                <w:sz w:val="18"/>
                <w:szCs w:val="18"/>
                <w:lang w:val="en-GB" w:eastAsia="zh-CN"/>
              </w:rPr>
              <w:t>16.1: The award is an entitlement rather than a matter of discretion; the Certificate will be awarded in the same subject and at the same level (Postgraduate or Graduate) as the Diploma; the candidate will also be entitled to an Official Transcript and European Diploma Supplement showing the credits achieved.</w:t>
            </w:r>
          </w:p>
          <w:p w:rsidRPr="009541B4" w:rsidR="009541B4" w:rsidP="009541B4" w:rsidRDefault="009541B4" w14:paraId="3693C738" w14:textId="77777777">
            <w:pPr>
              <w:pStyle w:val="MainBullet"/>
              <w:numPr>
                <w:ilvl w:val="0"/>
                <w:numId w:val="44"/>
              </w:numPr>
              <w:rPr>
                <w:i/>
                <w:iCs/>
                <w:sz w:val="18"/>
                <w:szCs w:val="18"/>
                <w:lang w:val="en-GB" w:eastAsia="zh-CN"/>
              </w:rPr>
            </w:pPr>
            <w:r w:rsidRPr="009541B4">
              <w:rPr>
                <w:i/>
                <w:iCs/>
                <w:sz w:val="18"/>
                <w:szCs w:val="18"/>
                <w:lang w:val="en-GB" w:eastAsia="zh-CN"/>
              </w:rPr>
              <w:t>16.2: This sets a minimum threshold for being awarded a University of Hull qualification in the event of an interim withdrawal.</w:t>
            </w:r>
          </w:p>
          <w:p w:rsidR="009541B4" w:rsidP="009541B4" w:rsidRDefault="009541B4" w14:paraId="42062321" w14:textId="5E4E6FA1">
            <w:pPr>
              <w:pStyle w:val="MainBullet"/>
              <w:numPr>
                <w:ilvl w:val="0"/>
                <w:numId w:val="44"/>
              </w:numPr>
              <w:rPr>
                <w:lang w:val="en-GB" w:eastAsia="zh-CN"/>
              </w:rPr>
            </w:pPr>
            <w:r w:rsidRPr="009541B4">
              <w:rPr>
                <w:i/>
                <w:iCs/>
                <w:sz w:val="18"/>
                <w:szCs w:val="18"/>
                <w:lang w:val="en-GB" w:eastAsia="zh-CN"/>
              </w:rPr>
              <w:t>16.4: This ensures that a candidate is not awarded a Certificate which suggests they are qualified to practise where this is not the case. The Programme Board of Examiners is responsible for recommending the title of the award for approval by SCC.</w:t>
            </w:r>
          </w:p>
        </w:tc>
      </w:tr>
    </w:tbl>
    <w:p w:rsidRPr="00927308" w:rsidR="009541B4" w:rsidP="009541B4" w:rsidRDefault="009541B4" w14:paraId="4AF864B5" w14:textId="77777777">
      <w:pPr>
        <w:pStyle w:val="MainBullet"/>
        <w:numPr>
          <w:ilvl w:val="0"/>
          <w:numId w:val="0"/>
        </w:numPr>
        <w:rPr>
          <w:lang w:val="en-GB" w:eastAsia="zh-CN"/>
        </w:rPr>
      </w:pPr>
    </w:p>
    <w:p w:rsidRPr="00927308" w:rsidR="00927308" w:rsidP="00927308" w:rsidRDefault="00927308" w14:paraId="58A35F65" w14:textId="77777777">
      <w:pPr>
        <w:pStyle w:val="Heading1"/>
        <w:numPr>
          <w:ilvl w:val="0"/>
          <w:numId w:val="0"/>
        </w:numPr>
        <w:ind w:left="680"/>
      </w:pPr>
      <w:bookmarkStart w:name="_Toc173339515" w:id="22"/>
      <w:r w:rsidRPr="00927308">
        <w:t>ASSESSMENT</w:t>
      </w:r>
      <w:bookmarkEnd w:id="22"/>
      <w:r w:rsidRPr="00927308">
        <w:t xml:space="preserve"> </w:t>
      </w:r>
    </w:p>
    <w:p w:rsidRPr="00927308" w:rsidR="00927308" w:rsidP="00927308" w:rsidRDefault="00927308" w14:paraId="0E8F89A6" w14:textId="77777777">
      <w:pPr>
        <w:pStyle w:val="Heading1"/>
      </w:pPr>
      <w:bookmarkStart w:name="_Toc173339516" w:id="23"/>
      <w:r w:rsidRPr="00927308">
        <w:t>Awarding Credit</w:t>
      </w:r>
      <w:bookmarkEnd w:id="23"/>
    </w:p>
    <w:p w:rsidRPr="00927308" w:rsidR="00927308" w:rsidP="00927308" w:rsidRDefault="00927308" w14:paraId="33A0649F" w14:textId="77777777">
      <w:pPr>
        <w:pStyle w:val="MainBullet"/>
        <w:rPr>
          <w:lang w:val="en-GB" w:eastAsia="zh-CN"/>
        </w:rPr>
      </w:pPr>
      <w:r w:rsidRPr="00927308">
        <w:rPr>
          <w:lang w:val="en-GB" w:eastAsia="zh-CN"/>
        </w:rPr>
        <w:t xml:space="preserve">To be awarded the credits for a module, a candidate </w:t>
      </w:r>
      <w:r w:rsidRPr="00B01082">
        <w:rPr>
          <w:b/>
          <w:bCs w:val="0"/>
          <w:lang w:val="en-GB" w:eastAsia="zh-CN"/>
        </w:rPr>
        <w:t>must</w:t>
      </w:r>
      <w:r w:rsidRPr="00927308">
        <w:rPr>
          <w:lang w:val="en-GB" w:eastAsia="zh-CN"/>
        </w:rPr>
        <w:t xml:space="preserve"> have passed the assessment requirements for that module. The credits for a particular module cannot be awarded to a candidate more than once.</w:t>
      </w:r>
    </w:p>
    <w:p w:rsidRPr="00927308" w:rsidR="00927308" w:rsidP="00927308" w:rsidRDefault="00927308" w14:paraId="2B40EDE5" w14:textId="77777777">
      <w:pPr>
        <w:pStyle w:val="Heading1"/>
      </w:pPr>
      <w:bookmarkStart w:name="_Toc173339517" w:id="24"/>
      <w:r w:rsidRPr="00927308">
        <w:t>Written examinations</w:t>
      </w:r>
      <w:bookmarkEnd w:id="24"/>
      <w:r w:rsidRPr="00927308">
        <w:t xml:space="preserve"> </w:t>
      </w:r>
    </w:p>
    <w:p w:rsidRPr="00927308" w:rsidR="00927308" w:rsidP="00927308" w:rsidRDefault="00927308" w14:paraId="74F344A0" w14:textId="77777777">
      <w:pPr>
        <w:pStyle w:val="MainBullet"/>
        <w:rPr>
          <w:lang w:val="en-GB" w:eastAsia="zh-CN"/>
        </w:rPr>
      </w:pPr>
      <w:r w:rsidRPr="00927308">
        <w:rPr>
          <w:lang w:val="en-GB" w:eastAsia="zh-CN"/>
        </w:rPr>
        <w:t xml:space="preserve">The default length for all formal University examinations is 2 hours. Faculty Education and Student Experience Committees have the authority to permit variations where there are professional body requirements, or where the form of assessment does not require 2 hours, (for example where the examination takes the form of a multiple-choice test), or where there are other sound academic reasons. </w:t>
      </w:r>
    </w:p>
    <w:p w:rsidRPr="00927308" w:rsidR="00927308" w:rsidP="00927308" w:rsidRDefault="00927308" w14:paraId="26A41066" w14:textId="77777777">
      <w:pPr>
        <w:pStyle w:val="Heading1"/>
      </w:pPr>
      <w:bookmarkStart w:name="_Toc173339518" w:id="25"/>
      <w:r w:rsidRPr="00927308">
        <w:t>Non-attendance/submission</w:t>
      </w:r>
      <w:bookmarkEnd w:id="25"/>
    </w:p>
    <w:p w:rsidRPr="00927308" w:rsidR="00927308" w:rsidP="00927308" w:rsidRDefault="00927308" w14:paraId="7F15CF86" w14:textId="77777777">
      <w:pPr>
        <w:pStyle w:val="MainBullet"/>
        <w:rPr>
          <w:lang w:val="en-GB" w:eastAsia="zh-CN"/>
        </w:rPr>
      </w:pPr>
      <w:r w:rsidRPr="00927308">
        <w:rPr>
          <w:lang w:val="en-GB" w:eastAsia="zh-CN"/>
        </w:rPr>
        <w:t xml:space="preserve">Where a candidate fails to attend an examination or submit a piece of assessed work </w:t>
      </w:r>
      <w:r w:rsidRPr="00927308">
        <w:rPr>
          <w:lang w:val="en-GB" w:eastAsia="zh-CN"/>
        </w:rPr>
        <w:lastRenderedPageBreak/>
        <w:t xml:space="preserve">without receiving the approval of the Additional Consideration Committee or Student Cases Committee, a mark of zero </w:t>
      </w:r>
      <w:r w:rsidRPr="00B01082">
        <w:rPr>
          <w:b/>
          <w:bCs w:val="0"/>
          <w:lang w:val="en-GB" w:eastAsia="zh-CN"/>
        </w:rPr>
        <w:t>must</w:t>
      </w:r>
      <w:r w:rsidRPr="00927308">
        <w:rPr>
          <w:lang w:val="en-GB" w:eastAsia="zh-CN"/>
        </w:rPr>
        <w:t xml:space="preserve"> be recorded for that examination/piece of assessed work.</w:t>
      </w:r>
    </w:p>
    <w:p w:rsidRPr="00927308" w:rsidR="00927308" w:rsidP="00927308" w:rsidRDefault="00927308" w14:paraId="4F75EC19" w14:textId="77777777">
      <w:pPr>
        <w:pStyle w:val="Heading1"/>
      </w:pPr>
      <w:bookmarkStart w:name="_Toc173339519" w:id="26"/>
      <w:r w:rsidRPr="00927308">
        <w:t>Module marks</w:t>
      </w:r>
      <w:bookmarkEnd w:id="26"/>
    </w:p>
    <w:p w:rsidRPr="007F7863" w:rsidR="007F7863" w:rsidP="007F7863" w:rsidRDefault="00927308" w14:paraId="6C87153D" w14:textId="4F3C87F0">
      <w:pPr>
        <w:pStyle w:val="MainBullet"/>
        <w:rPr>
          <w:lang w:val="en-GB" w:eastAsia="zh-CN"/>
        </w:rPr>
      </w:pPr>
      <w:r w:rsidRPr="00927308">
        <w:rPr>
          <w:lang w:val="en-GB" w:eastAsia="zh-CN"/>
        </w:rPr>
        <w:t>The performance of a candidate in meeting the assessment requirements of a module is determined by the Module Board of Examiners, and is indicated by a numerical mark recorded on the following University scale: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96"/>
        <w:gridCol w:w="1987"/>
        <w:gridCol w:w="2079"/>
      </w:tblGrid>
      <w:tr w:rsidRPr="007F7863" w:rsidR="007F7863" w:rsidTr="00E50044" w14:paraId="3431BBBD" w14:textId="77777777">
        <w:tc>
          <w:tcPr>
            <w:tcW w:w="2196" w:type="dxa"/>
            <w:tcBorders>
              <w:top w:val="nil"/>
              <w:left w:val="nil"/>
            </w:tcBorders>
          </w:tcPr>
          <w:p w:rsidRPr="007F7863" w:rsidR="007F7863" w:rsidP="007F7863" w:rsidRDefault="007F7863" w14:paraId="1546C0B8" w14:textId="77777777">
            <w:pPr>
              <w:spacing w:after="0"/>
              <w:rPr>
                <w:rFonts w:cs="Arial" w:asciiTheme="minorHAnsi" w:hAnsiTheme="minorHAnsi"/>
                <w:sz w:val="20"/>
                <w:lang w:eastAsia="en-GB"/>
              </w:rPr>
            </w:pPr>
          </w:p>
        </w:tc>
        <w:tc>
          <w:tcPr>
            <w:tcW w:w="1987" w:type="dxa"/>
          </w:tcPr>
          <w:p w:rsidRPr="007F7863" w:rsidR="007F7863" w:rsidP="007F7863" w:rsidRDefault="007F7863" w14:paraId="565C1A8D" w14:textId="77777777">
            <w:pPr>
              <w:spacing w:after="0"/>
              <w:rPr>
                <w:rFonts w:cs="Arial" w:asciiTheme="minorHAnsi" w:hAnsiTheme="minorHAnsi"/>
                <w:b/>
                <w:sz w:val="20"/>
                <w:lang w:eastAsia="en-GB"/>
              </w:rPr>
            </w:pPr>
            <w:r w:rsidRPr="007F7863">
              <w:rPr>
                <w:rFonts w:cs="Arial" w:asciiTheme="minorHAnsi" w:hAnsiTheme="minorHAnsi"/>
                <w:b/>
                <w:sz w:val="20"/>
                <w:lang w:eastAsia="en-GB"/>
              </w:rPr>
              <w:t>Levels 5 &amp; 6</w:t>
            </w:r>
          </w:p>
        </w:tc>
        <w:tc>
          <w:tcPr>
            <w:tcW w:w="2079" w:type="dxa"/>
          </w:tcPr>
          <w:p w:rsidRPr="007F7863" w:rsidR="007F7863" w:rsidP="007F7863" w:rsidRDefault="007F7863" w14:paraId="2673668B" w14:textId="77777777">
            <w:pPr>
              <w:spacing w:after="0"/>
              <w:rPr>
                <w:rFonts w:cs="Arial" w:asciiTheme="minorHAnsi" w:hAnsiTheme="minorHAnsi"/>
                <w:b/>
                <w:sz w:val="20"/>
                <w:lang w:eastAsia="en-GB"/>
              </w:rPr>
            </w:pPr>
            <w:r w:rsidRPr="007F7863">
              <w:rPr>
                <w:rFonts w:cs="Arial" w:asciiTheme="minorHAnsi" w:hAnsiTheme="minorHAnsi"/>
                <w:b/>
                <w:sz w:val="20"/>
                <w:lang w:eastAsia="en-GB"/>
              </w:rPr>
              <w:t>Level 7</w:t>
            </w:r>
          </w:p>
        </w:tc>
      </w:tr>
      <w:tr w:rsidRPr="007F7863" w:rsidR="00F214D2" w:rsidTr="00E50044" w14:paraId="5071CFD4" w14:textId="77777777">
        <w:tc>
          <w:tcPr>
            <w:tcW w:w="2196" w:type="dxa"/>
          </w:tcPr>
          <w:p w:rsidRPr="007F7863" w:rsidR="00F214D2" w:rsidP="00F214D2" w:rsidRDefault="00F214D2" w14:paraId="72FC01F2" w14:textId="143E2C2F">
            <w:pPr>
              <w:spacing w:after="0"/>
              <w:rPr>
                <w:rFonts w:cs="Arial" w:asciiTheme="minorHAnsi" w:hAnsiTheme="minorHAnsi"/>
                <w:sz w:val="20"/>
                <w:lang w:eastAsia="en-GB"/>
              </w:rPr>
            </w:pPr>
            <w:r w:rsidRPr="002E6A2F">
              <w:rPr>
                <w:rFonts w:cs="Arial"/>
                <w:sz w:val="20"/>
                <w:lang w:eastAsia="en-GB"/>
              </w:rPr>
              <w:t>Pass</w:t>
            </w:r>
          </w:p>
        </w:tc>
        <w:tc>
          <w:tcPr>
            <w:tcW w:w="1987" w:type="dxa"/>
          </w:tcPr>
          <w:p w:rsidRPr="007F7863" w:rsidR="00F214D2" w:rsidP="00F214D2" w:rsidRDefault="00F214D2" w14:paraId="48E39B46" w14:textId="0101EB8D">
            <w:pPr>
              <w:spacing w:after="0"/>
              <w:rPr>
                <w:rFonts w:cs="Arial" w:asciiTheme="minorHAnsi" w:hAnsiTheme="minorHAnsi"/>
                <w:sz w:val="20"/>
                <w:lang w:eastAsia="en-GB"/>
              </w:rPr>
            </w:pPr>
            <w:r w:rsidRPr="002E6A2F">
              <w:rPr>
                <w:rFonts w:cs="Arial"/>
                <w:sz w:val="20"/>
                <w:lang w:eastAsia="en-GB"/>
              </w:rPr>
              <w:t>40-100</w:t>
            </w:r>
          </w:p>
        </w:tc>
        <w:tc>
          <w:tcPr>
            <w:tcW w:w="2079" w:type="dxa"/>
          </w:tcPr>
          <w:p w:rsidRPr="007F7863" w:rsidR="00F214D2" w:rsidP="00F214D2" w:rsidRDefault="00F214D2" w14:paraId="5EC897BB" w14:textId="0588701A">
            <w:pPr>
              <w:spacing w:after="0"/>
              <w:rPr>
                <w:rFonts w:cs="Arial" w:asciiTheme="minorHAnsi" w:hAnsiTheme="minorHAnsi"/>
                <w:sz w:val="20"/>
                <w:lang w:eastAsia="en-GB"/>
              </w:rPr>
            </w:pPr>
            <w:r w:rsidRPr="002E6A2F">
              <w:rPr>
                <w:rFonts w:cs="Arial"/>
                <w:sz w:val="20"/>
                <w:lang w:eastAsia="en-GB"/>
              </w:rPr>
              <w:t>50-100</w:t>
            </w:r>
          </w:p>
        </w:tc>
      </w:tr>
      <w:tr w:rsidRPr="007F7863" w:rsidR="00F214D2" w:rsidTr="00E50044" w14:paraId="219FDB09" w14:textId="77777777">
        <w:tc>
          <w:tcPr>
            <w:tcW w:w="2196" w:type="dxa"/>
          </w:tcPr>
          <w:p w:rsidRPr="007F7863" w:rsidR="00F214D2" w:rsidP="00F214D2" w:rsidRDefault="00F214D2" w14:paraId="393ECB43" w14:textId="093E3B6B">
            <w:pPr>
              <w:spacing w:after="0"/>
              <w:rPr>
                <w:rFonts w:cs="Arial" w:asciiTheme="minorHAnsi" w:hAnsiTheme="minorHAnsi"/>
                <w:sz w:val="20"/>
                <w:lang w:eastAsia="en-GB"/>
              </w:rPr>
            </w:pPr>
            <w:r>
              <w:rPr>
                <w:rFonts w:cs="Arial"/>
                <w:sz w:val="20"/>
                <w:lang w:eastAsia="en-GB"/>
              </w:rPr>
              <w:t>Compenstable</w:t>
            </w:r>
          </w:p>
        </w:tc>
        <w:tc>
          <w:tcPr>
            <w:tcW w:w="1987" w:type="dxa"/>
          </w:tcPr>
          <w:p w:rsidRPr="007F7863" w:rsidR="00F214D2" w:rsidP="00F214D2" w:rsidRDefault="00F214D2" w14:paraId="39089B9D" w14:textId="72B251EC">
            <w:pPr>
              <w:spacing w:after="0"/>
              <w:rPr>
                <w:rFonts w:cs="Arial" w:asciiTheme="minorHAnsi" w:hAnsiTheme="minorHAnsi"/>
                <w:sz w:val="20"/>
                <w:lang w:eastAsia="en-GB"/>
              </w:rPr>
            </w:pPr>
            <w:r>
              <w:rPr>
                <w:rFonts w:cs="Arial"/>
                <w:sz w:val="20"/>
                <w:lang w:eastAsia="en-GB"/>
              </w:rPr>
              <w:t>35-39</w:t>
            </w:r>
          </w:p>
        </w:tc>
        <w:tc>
          <w:tcPr>
            <w:tcW w:w="2079" w:type="dxa"/>
          </w:tcPr>
          <w:p w:rsidRPr="007F7863" w:rsidR="00F214D2" w:rsidP="00F214D2" w:rsidRDefault="00F214D2" w14:paraId="1A469A73" w14:textId="495FAD64">
            <w:pPr>
              <w:spacing w:after="0"/>
              <w:rPr>
                <w:rFonts w:cs="Arial" w:asciiTheme="minorHAnsi" w:hAnsiTheme="minorHAnsi"/>
                <w:sz w:val="20"/>
                <w:lang w:eastAsia="en-GB"/>
              </w:rPr>
            </w:pPr>
            <w:r>
              <w:rPr>
                <w:rFonts w:cs="Arial"/>
                <w:sz w:val="20"/>
                <w:lang w:eastAsia="en-GB"/>
              </w:rPr>
              <w:t>45-49</w:t>
            </w:r>
          </w:p>
        </w:tc>
      </w:tr>
      <w:tr w:rsidRPr="007F7863" w:rsidR="00F214D2" w:rsidTr="00E50044" w14:paraId="16787774" w14:textId="77777777">
        <w:tc>
          <w:tcPr>
            <w:tcW w:w="2196" w:type="dxa"/>
          </w:tcPr>
          <w:p w:rsidRPr="007F7863" w:rsidR="00F214D2" w:rsidP="00F214D2" w:rsidRDefault="00F214D2" w14:paraId="53D6964A" w14:textId="768BA280">
            <w:pPr>
              <w:spacing w:after="0"/>
              <w:rPr>
                <w:rFonts w:cs="Arial" w:asciiTheme="minorHAnsi" w:hAnsiTheme="minorHAnsi"/>
                <w:sz w:val="20"/>
                <w:lang w:eastAsia="en-GB"/>
              </w:rPr>
            </w:pPr>
            <w:r w:rsidRPr="002E6A2F">
              <w:rPr>
                <w:rFonts w:cs="Arial"/>
                <w:sz w:val="20"/>
                <w:lang w:eastAsia="en-GB"/>
              </w:rPr>
              <w:t>Fail</w:t>
            </w:r>
          </w:p>
        </w:tc>
        <w:tc>
          <w:tcPr>
            <w:tcW w:w="1987" w:type="dxa"/>
          </w:tcPr>
          <w:p w:rsidRPr="007F7863" w:rsidR="00F214D2" w:rsidP="00F214D2" w:rsidRDefault="00F214D2" w14:paraId="6A5085CC" w14:textId="65E60C26">
            <w:pPr>
              <w:spacing w:after="0"/>
              <w:rPr>
                <w:rFonts w:cs="Arial" w:asciiTheme="minorHAnsi" w:hAnsiTheme="minorHAnsi"/>
                <w:sz w:val="20"/>
                <w:lang w:eastAsia="en-GB"/>
              </w:rPr>
            </w:pPr>
            <w:r>
              <w:rPr>
                <w:rFonts w:cs="Arial"/>
                <w:sz w:val="20"/>
                <w:lang w:eastAsia="en-GB"/>
              </w:rPr>
              <w:t>0-34</w:t>
            </w:r>
          </w:p>
        </w:tc>
        <w:tc>
          <w:tcPr>
            <w:tcW w:w="2079" w:type="dxa"/>
          </w:tcPr>
          <w:p w:rsidRPr="007F7863" w:rsidR="00F214D2" w:rsidP="00F214D2" w:rsidRDefault="00F214D2" w14:paraId="2E29D90C" w14:textId="456CED30">
            <w:pPr>
              <w:spacing w:after="0"/>
              <w:rPr>
                <w:rFonts w:cs="Arial" w:asciiTheme="minorHAnsi" w:hAnsiTheme="minorHAnsi"/>
                <w:sz w:val="20"/>
                <w:lang w:eastAsia="en-GB"/>
              </w:rPr>
            </w:pPr>
            <w:r>
              <w:rPr>
                <w:rFonts w:cs="Arial"/>
                <w:sz w:val="20"/>
                <w:lang w:eastAsia="en-GB"/>
              </w:rPr>
              <w:t>0-44</w:t>
            </w:r>
          </w:p>
        </w:tc>
      </w:tr>
    </w:tbl>
    <w:p w:rsidRPr="00927308" w:rsidR="00927308" w:rsidP="007F7863" w:rsidRDefault="00927308" w14:paraId="7316422D" w14:textId="0A78BB28">
      <w:pPr>
        <w:pStyle w:val="MainBullet"/>
        <w:numPr>
          <w:ilvl w:val="0"/>
          <w:numId w:val="0"/>
        </w:numPr>
        <w:rPr>
          <w:lang w:val="en-GB" w:eastAsia="zh-CN"/>
        </w:rPr>
      </w:pPr>
    </w:p>
    <w:p w:rsidRPr="00927308" w:rsidR="00927308" w:rsidP="00927308" w:rsidRDefault="00927308" w14:paraId="37F5A3B9" w14:textId="77777777">
      <w:pPr>
        <w:pStyle w:val="MainBullet"/>
        <w:rPr>
          <w:lang w:val="en-GB" w:eastAsia="zh-CN"/>
        </w:rPr>
      </w:pPr>
      <w:r w:rsidRPr="00927308">
        <w:rPr>
          <w:lang w:val="en-GB" w:eastAsia="zh-CN"/>
        </w:rPr>
        <w:t xml:space="preserve">A candidate cannot be awarded the credit for a module where the module specification stipulates that to pass the module a candidate </w:t>
      </w:r>
      <w:r w:rsidRPr="00B01082">
        <w:rPr>
          <w:b/>
          <w:bCs w:val="0"/>
          <w:lang w:val="en-GB" w:eastAsia="zh-CN"/>
        </w:rPr>
        <w:t>must</w:t>
      </w:r>
      <w:r w:rsidRPr="00927308">
        <w:rPr>
          <w:lang w:val="en-GB" w:eastAsia="zh-CN"/>
        </w:rPr>
        <w:t xml:space="preserve"> achieve a pass in one or more module components, and the candidate does not pass such components, irrespective of the overall module mark. </w:t>
      </w:r>
    </w:p>
    <w:p w:rsidRPr="00927308" w:rsidR="00927308" w:rsidP="00927308" w:rsidRDefault="00927308" w14:paraId="6596AEEC" w14:textId="77777777">
      <w:pPr>
        <w:pStyle w:val="MainBullet"/>
        <w:rPr>
          <w:lang w:val="en-GB" w:eastAsia="zh-CN"/>
        </w:rPr>
      </w:pPr>
      <w:r w:rsidRPr="00927308">
        <w:rPr>
          <w:lang w:val="en-GB" w:eastAsia="zh-CN"/>
        </w:rPr>
        <w:t xml:space="preserve">Module marks </w:t>
      </w:r>
      <w:r w:rsidRPr="00B01082">
        <w:rPr>
          <w:b/>
          <w:bCs w:val="0"/>
          <w:lang w:val="en-GB" w:eastAsia="zh-CN"/>
        </w:rPr>
        <w:t>must</w:t>
      </w:r>
      <w:r w:rsidRPr="00927308">
        <w:rPr>
          <w:lang w:val="en-GB" w:eastAsia="zh-CN"/>
        </w:rPr>
        <w:t xml:space="preserve"> be recorded to the nearest whole number.  </w:t>
      </w:r>
    </w:p>
    <w:p w:rsidRPr="007F7863" w:rsidR="007F7863" w:rsidP="007F7863" w:rsidRDefault="007F7863" w14:paraId="36FC4592" w14:textId="77777777">
      <w:pPr>
        <w:pStyle w:val="Heading1"/>
      </w:pPr>
      <w:bookmarkStart w:name="_Toc173339520" w:id="27"/>
      <w:r w:rsidRPr="007F7863">
        <w:t>Reassessment</w:t>
      </w:r>
      <w:bookmarkEnd w:id="27"/>
      <w:r w:rsidRPr="007F7863">
        <w:t xml:space="preserve"> </w:t>
      </w:r>
    </w:p>
    <w:p w:rsidRPr="007F7863" w:rsidR="007F7863" w:rsidP="007F7863" w:rsidRDefault="007F7863" w14:paraId="0705D46C" w14:textId="77777777">
      <w:pPr>
        <w:pStyle w:val="MainBullet"/>
        <w:rPr>
          <w:lang w:val="en-GB" w:eastAsia="zh-CN"/>
        </w:rPr>
      </w:pPr>
      <w:r w:rsidRPr="007F7863">
        <w:rPr>
          <w:lang w:val="en-GB" w:eastAsia="zh-CN"/>
        </w:rPr>
        <w:t>Students shall always be given the opportunity to undertake reassessment in modules in which they have not achieved the pass mark. Reassessment shall be by:</w:t>
      </w:r>
    </w:p>
    <w:p w:rsidRPr="007F7863" w:rsidR="007F7863" w:rsidP="007F7863" w:rsidRDefault="007F7863" w14:paraId="05B2F9AC" w14:textId="77777777">
      <w:pPr>
        <w:pStyle w:val="MainBullet"/>
        <w:numPr>
          <w:ilvl w:val="2"/>
          <w:numId w:val="27"/>
        </w:numPr>
        <w:rPr>
          <w:lang w:val="en-GB" w:eastAsia="zh-CN"/>
        </w:rPr>
      </w:pPr>
      <w:r w:rsidRPr="007F7863">
        <w:rPr>
          <w:lang w:val="en-GB" w:eastAsia="zh-CN"/>
        </w:rPr>
        <w:t>resubmission of the same, amended, piece of work (where appropriate)</w:t>
      </w:r>
    </w:p>
    <w:p w:rsidRPr="007F7863" w:rsidR="007F7863" w:rsidP="007F7863" w:rsidRDefault="007F7863" w14:paraId="3E20E512" w14:textId="77777777">
      <w:pPr>
        <w:pStyle w:val="MainBullet"/>
        <w:numPr>
          <w:ilvl w:val="2"/>
          <w:numId w:val="27"/>
        </w:numPr>
        <w:rPr>
          <w:lang w:val="en-GB" w:eastAsia="zh-CN"/>
        </w:rPr>
      </w:pPr>
      <w:r w:rsidRPr="007F7863">
        <w:rPr>
          <w:lang w:val="en-GB" w:eastAsia="zh-CN"/>
        </w:rPr>
        <w:t>resit of an examination, or</w:t>
      </w:r>
    </w:p>
    <w:p w:rsidRPr="007F7863" w:rsidR="007F7863" w:rsidP="007F7863" w:rsidRDefault="007F7863" w14:paraId="0F00B61D" w14:textId="77777777">
      <w:pPr>
        <w:pStyle w:val="MainBullet"/>
        <w:numPr>
          <w:ilvl w:val="2"/>
          <w:numId w:val="27"/>
        </w:numPr>
        <w:rPr>
          <w:lang w:val="en-GB" w:eastAsia="zh-CN"/>
        </w:rPr>
      </w:pPr>
      <w:r w:rsidRPr="007F7863">
        <w:rPr>
          <w:lang w:val="en-GB" w:eastAsia="zh-CN"/>
        </w:rPr>
        <w:t>submission and assessment of a new piece of work.</w:t>
      </w:r>
    </w:p>
    <w:p w:rsidRPr="007F7863" w:rsidR="007F7863" w:rsidP="007F7863" w:rsidRDefault="007F7863" w14:paraId="29573075" w14:textId="77777777">
      <w:pPr>
        <w:pStyle w:val="MainBullet"/>
        <w:rPr>
          <w:lang w:val="en-GB" w:eastAsia="zh-CN"/>
        </w:rPr>
      </w:pPr>
      <w:r w:rsidRPr="007F7863">
        <w:rPr>
          <w:lang w:val="en-GB" w:eastAsia="zh-CN"/>
        </w:rPr>
        <w:t>Where a student has failed a module, they have the right to reassessment on one occasion only.</w:t>
      </w:r>
    </w:p>
    <w:p w:rsidRPr="007F7863" w:rsidR="007F7863" w:rsidP="007F7863" w:rsidRDefault="007F7863" w14:paraId="10EABBA5" w14:textId="77777777">
      <w:pPr>
        <w:pStyle w:val="MainBullet"/>
        <w:rPr>
          <w:lang w:val="en-GB" w:eastAsia="zh-CN"/>
        </w:rPr>
      </w:pPr>
      <w:r w:rsidRPr="007F7863">
        <w:rPr>
          <w:lang w:val="en-GB" w:eastAsia="zh-CN"/>
        </w:rPr>
        <w:t xml:space="preserve">Where a student has not achieved the pass mark for the module, reassessment shall be in the failed component(s) only. </w:t>
      </w:r>
    </w:p>
    <w:p w:rsidRPr="007F7863" w:rsidR="007F7863" w:rsidP="007F7863" w:rsidRDefault="007F7863" w14:paraId="182D52D4" w14:textId="77777777">
      <w:pPr>
        <w:pStyle w:val="MainBullet"/>
        <w:rPr>
          <w:lang w:val="en-GB" w:eastAsia="zh-CN"/>
        </w:rPr>
      </w:pPr>
      <w:r w:rsidRPr="007F7863">
        <w:rPr>
          <w:lang w:val="en-GB" w:eastAsia="zh-CN"/>
        </w:rPr>
        <w:t xml:space="preserve">Where reassessment is by the submission and assessment of a new piece of work, the reassessment task shall follow the same method of assessment as the original format where possible. Where this is not possible it </w:t>
      </w:r>
      <w:r w:rsidRPr="00B01082">
        <w:rPr>
          <w:b/>
          <w:bCs w:val="0"/>
          <w:lang w:val="en-GB" w:eastAsia="zh-CN"/>
        </w:rPr>
        <w:t>must</w:t>
      </w:r>
      <w:r w:rsidRPr="007F7863">
        <w:rPr>
          <w:lang w:val="en-GB" w:eastAsia="zh-CN"/>
        </w:rPr>
        <w:t xml:space="preserve"> be made explicit what form the reassessment will take.  </w:t>
      </w:r>
    </w:p>
    <w:p w:rsidRPr="007F7863" w:rsidR="007F7863" w:rsidP="007F7863" w:rsidRDefault="007F7863" w14:paraId="1DCF5719" w14:textId="77777777">
      <w:pPr>
        <w:pStyle w:val="MainBullet"/>
        <w:rPr>
          <w:lang w:val="en-GB" w:eastAsia="zh-CN"/>
        </w:rPr>
      </w:pPr>
      <w:r w:rsidRPr="007F7863">
        <w:rPr>
          <w:lang w:val="en-GB" w:eastAsia="zh-CN"/>
        </w:rPr>
        <w:t xml:space="preserve"> Information about reassessment methods </w:t>
      </w:r>
      <w:r w:rsidRPr="00B01082">
        <w:rPr>
          <w:b/>
          <w:bCs w:val="0"/>
          <w:lang w:val="en-GB" w:eastAsia="zh-CN"/>
        </w:rPr>
        <w:t>must</w:t>
      </w:r>
      <w:r w:rsidRPr="007F7863">
        <w:rPr>
          <w:lang w:val="en-GB" w:eastAsia="zh-CN"/>
        </w:rPr>
        <w:t xml:space="preserve"> be included within the module specification and approved through university approval processes.</w:t>
      </w:r>
    </w:p>
    <w:p w:rsidRPr="007F7863" w:rsidR="007F7863" w:rsidP="007F7863" w:rsidRDefault="007F7863" w14:paraId="364D29E2" w14:textId="77777777">
      <w:pPr>
        <w:pStyle w:val="MainBullet"/>
        <w:rPr>
          <w:lang w:val="en-GB" w:eastAsia="zh-CN"/>
        </w:rPr>
      </w:pPr>
      <w:r w:rsidRPr="007F7863">
        <w:rPr>
          <w:lang w:val="en-GB" w:eastAsia="zh-CN"/>
        </w:rPr>
        <w:t xml:space="preserve">The mark recorded for module components passed after reassessment/resubmission and used to calculate the mark for the module </w:t>
      </w:r>
      <w:r w:rsidRPr="00B01082">
        <w:rPr>
          <w:b/>
          <w:bCs w:val="0"/>
          <w:lang w:val="en-GB" w:eastAsia="zh-CN"/>
        </w:rPr>
        <w:t>must</w:t>
      </w:r>
      <w:r w:rsidRPr="007F7863">
        <w:rPr>
          <w:lang w:val="en-GB" w:eastAsia="zh-CN"/>
        </w:rPr>
        <w:t xml:space="preserve"> be the relevant pass mark for the level of the module.</w:t>
      </w:r>
    </w:p>
    <w:p w:rsidRPr="007F7863" w:rsidR="007F7863" w:rsidP="007F7863" w:rsidRDefault="007F7863" w14:paraId="7BF309D1" w14:textId="77777777">
      <w:pPr>
        <w:pStyle w:val="Heading1"/>
        <w:numPr>
          <w:ilvl w:val="0"/>
          <w:numId w:val="0"/>
        </w:numPr>
        <w:ind w:left="680"/>
      </w:pPr>
      <w:bookmarkStart w:name="_Toc173339521" w:id="28"/>
      <w:r w:rsidRPr="007F7863">
        <w:t>ACADEMIC/PROFESSIONAL DISCIPLINE</w:t>
      </w:r>
      <w:bookmarkEnd w:id="28"/>
    </w:p>
    <w:p w:rsidRPr="007F7863" w:rsidR="007F7863" w:rsidP="007F7863" w:rsidRDefault="007F7863" w14:paraId="35CC9BED" w14:textId="77777777">
      <w:pPr>
        <w:pStyle w:val="Heading1"/>
      </w:pPr>
      <w:bookmarkStart w:name="_Toc173339522" w:id="29"/>
      <w:r w:rsidRPr="007F7863">
        <w:t>Academic Misconduct</w:t>
      </w:r>
      <w:bookmarkEnd w:id="29"/>
    </w:p>
    <w:p w:rsidRPr="007F7863" w:rsidR="007F7863" w:rsidP="007F7863" w:rsidRDefault="007F7863" w14:paraId="05869676" w14:textId="77777777">
      <w:pPr>
        <w:pStyle w:val="MainBullet"/>
        <w:rPr>
          <w:lang w:val="en-GB" w:eastAsia="zh-CN"/>
        </w:rPr>
      </w:pPr>
      <w:r w:rsidRPr="007F7863">
        <w:rPr>
          <w:lang w:val="en-GB" w:eastAsia="zh-CN"/>
        </w:rPr>
        <w:t xml:space="preserve">Allegations of academic misconduct shall be subject to the Regulations governing </w:t>
      </w:r>
      <w:r w:rsidRPr="007F7863">
        <w:rPr>
          <w:lang w:val="en-GB" w:eastAsia="zh-CN"/>
        </w:rPr>
        <w:lastRenderedPageBreak/>
        <w:t xml:space="preserve">Academic Misconduct, and no penalty shall be imposed other than in accordance with the said Regulations. </w:t>
      </w:r>
    </w:p>
    <w:p w:rsidRPr="007F7863" w:rsidR="007F7863" w:rsidP="007F7863" w:rsidRDefault="007F7863" w14:paraId="1746EBA9" w14:textId="5E55B0A2">
      <w:pPr>
        <w:pStyle w:val="MainBullet"/>
        <w:rPr>
          <w:lang w:val="en-GB" w:eastAsia="zh-CN"/>
        </w:rPr>
      </w:pPr>
      <w:r w:rsidRPr="007F7863">
        <w:rPr>
          <w:lang w:val="en-GB" w:eastAsia="zh-CN"/>
        </w:rPr>
        <w:t>Academic misconduct shall be defined to exclude conduct, which may amount to either professional misconduct or professional unsuitability as defined in Regulation 2</w:t>
      </w:r>
      <w:r w:rsidR="00626A29">
        <w:rPr>
          <w:lang w:val="en-GB" w:eastAsia="zh-CN"/>
        </w:rPr>
        <w:t>3</w:t>
      </w:r>
      <w:r w:rsidRPr="007F7863">
        <w:rPr>
          <w:lang w:val="en-GB" w:eastAsia="zh-CN"/>
        </w:rPr>
        <w:t>‎ below.</w:t>
      </w:r>
    </w:p>
    <w:p w:rsidRPr="007F7863" w:rsidR="007F7863" w:rsidP="007F7863" w:rsidRDefault="007F7863" w14:paraId="62DE99AA" w14:textId="77777777">
      <w:pPr>
        <w:pStyle w:val="Heading1"/>
      </w:pPr>
      <w:bookmarkStart w:name="_Toc173339523" w:id="30"/>
      <w:r w:rsidRPr="007F7863">
        <w:t>Professional Standards of Conduct (Fitness to Practise)</w:t>
      </w:r>
      <w:bookmarkEnd w:id="30"/>
    </w:p>
    <w:p w:rsidRPr="007F7863" w:rsidR="007F7863" w:rsidP="007F7863" w:rsidRDefault="007F7863" w14:paraId="10BA0AD8" w14:textId="77777777">
      <w:pPr>
        <w:pStyle w:val="MainBullet"/>
        <w:rPr>
          <w:lang w:val="en-GB" w:eastAsia="zh-CN"/>
        </w:rPr>
      </w:pPr>
      <w:r w:rsidRPr="007F7863">
        <w:rPr>
          <w:lang w:val="en-GB" w:eastAsia="zh-CN"/>
        </w:rPr>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Pr="007F7863" w:rsidR="007F7863" w:rsidP="007F7863" w:rsidRDefault="007F7863" w14:paraId="4C3EAC27" w14:textId="77777777">
      <w:pPr>
        <w:pStyle w:val="MainBullet"/>
        <w:rPr>
          <w:lang w:val="en-GB" w:eastAsia="zh-CN"/>
        </w:rPr>
      </w:pPr>
      <w:r w:rsidRPr="007F7863">
        <w:rPr>
          <w:lang w:val="en-GB" w:eastAsia="zh-CN"/>
        </w:rPr>
        <w:t xml:space="preserve">For information regarding professional standards of conduct (fitness to practise), please refer to the University Regulations Governing the Investigation and Determination of Concerns about Fitness to Practise.  </w:t>
      </w:r>
    </w:p>
    <w:p w:rsidR="007F7863" w:rsidP="007F7863" w:rsidRDefault="007F7863" w14:paraId="1A3EA1BA" w14:textId="77777777">
      <w:pPr>
        <w:pStyle w:val="Heading1"/>
        <w:numPr>
          <w:ilvl w:val="0"/>
          <w:numId w:val="0"/>
        </w:numPr>
        <w:ind w:left="680"/>
      </w:pPr>
      <w:bookmarkStart w:name="_Toc173339524" w:id="31"/>
      <w:r w:rsidRPr="007F7863">
        <w:t>PROGRESSION</w:t>
      </w:r>
      <w:bookmarkEnd w:id="31"/>
    </w:p>
    <w:p w:rsidRPr="00626A29" w:rsidR="00626A29" w:rsidP="00626A29" w:rsidRDefault="00626A29" w14:paraId="2AC93110" w14:textId="77777777">
      <w:pPr>
        <w:pStyle w:val="Heading1"/>
      </w:pPr>
      <w:bookmarkStart w:name="_Toc173339525" w:id="32"/>
      <w:r w:rsidRPr="00626A29">
        <w:t>Weighted averages</w:t>
      </w:r>
      <w:bookmarkEnd w:id="32"/>
    </w:p>
    <w:p w:rsidRPr="00626A29" w:rsidR="00626A29" w:rsidP="00626A29" w:rsidRDefault="00626A29" w14:paraId="036BFAD3" w14:textId="77777777">
      <w:pPr>
        <w:pStyle w:val="MainBullet"/>
        <w:rPr>
          <w:lang w:val="en-GB" w:eastAsia="zh-CN"/>
        </w:rPr>
      </w:pPr>
      <w:r w:rsidRPr="00626A29">
        <w:rPr>
          <w:lang w:val="en-GB" w:eastAsia="zh-CN"/>
        </w:rPr>
        <w:t xml:space="preserve">In calculating the weighted average mark for each level of a Diploma programme each individual mark shall be weighted by the credit value of the corresponding module and the average recorded to the nearest whole number. </w:t>
      </w:r>
    </w:p>
    <w:p w:rsidR="00626A29" w:rsidP="00626A29" w:rsidRDefault="00626A29" w14:paraId="27531A3A" w14:textId="5852C35C">
      <w:pPr>
        <w:pStyle w:val="MainBullet"/>
        <w:rPr>
          <w:lang w:val="en-GB" w:eastAsia="zh-CN"/>
        </w:rPr>
      </w:pPr>
      <w:r w:rsidRPr="00626A29">
        <w:rPr>
          <w:lang w:val="en-GB" w:eastAsia="zh-CN"/>
        </w:rPr>
        <w:t>Credit which has been accepted towards the programme of study in accordance with Regulation 10 is disregarded for the purposes of calculating weighted averages under this Regulation unless that credit was awarded by the University of Hull as a result of a module or modules delivered by the University or one of its Partner Institutions.</w:t>
      </w:r>
    </w:p>
    <w:p w:rsidRPr="00626A29" w:rsidR="00626A29" w:rsidP="00626A29" w:rsidRDefault="00626A29" w14:paraId="5BE85E8B" w14:textId="77777777">
      <w:pPr>
        <w:pStyle w:val="Heading1"/>
      </w:pPr>
      <w:bookmarkStart w:name="_Toc173339526" w:id="33"/>
      <w:r w:rsidRPr="00626A29">
        <w:t>Compensation and Condonement Maxima</w:t>
      </w:r>
      <w:bookmarkEnd w:id="33"/>
    </w:p>
    <w:p w:rsidRPr="00626A29" w:rsidR="00626A29" w:rsidP="00626A29" w:rsidRDefault="00626A29" w14:paraId="7C7FE724" w14:textId="77777777">
      <w:pPr>
        <w:pStyle w:val="MainBullet"/>
        <w:rPr>
          <w:lang w:val="en-GB" w:eastAsia="zh-CN"/>
        </w:rPr>
      </w:pPr>
      <w:r w:rsidRPr="00626A29">
        <w:rPr>
          <w:lang w:val="en-GB" w:eastAsia="zh-CN"/>
        </w:rPr>
        <w:t>The maximum number of credits which may be condoned or awarded by compensation is 30.</w:t>
      </w:r>
    </w:p>
    <w:tbl>
      <w:tblPr>
        <w:tblStyle w:val="TableGrid"/>
        <w:tblW w:w="0" w:type="auto"/>
        <w:tblInd w:w="680" w:type="dxa"/>
        <w:tblLook w:val="04A0" w:firstRow="1" w:lastRow="0" w:firstColumn="1" w:lastColumn="0" w:noHBand="0" w:noVBand="1"/>
      </w:tblPr>
      <w:tblGrid>
        <w:gridCol w:w="8336"/>
      </w:tblGrid>
      <w:tr w:rsidR="00626A29" w:rsidTr="00100383" w14:paraId="3AD44473" w14:textId="77777777">
        <w:tc>
          <w:tcPr>
            <w:tcW w:w="8336" w:type="dxa"/>
          </w:tcPr>
          <w:p w:rsidRPr="00626A29" w:rsidR="00626A29" w:rsidP="00626A29" w:rsidRDefault="00626A29" w14:paraId="4D6F5CDC" w14:textId="77777777">
            <w:pPr>
              <w:pStyle w:val="MainBullet"/>
              <w:numPr>
                <w:ilvl w:val="0"/>
                <w:numId w:val="45"/>
              </w:numPr>
              <w:rPr>
                <w:i/>
                <w:iCs/>
                <w:sz w:val="18"/>
                <w:szCs w:val="18"/>
                <w:lang w:val="en-GB" w:eastAsia="zh-CN"/>
              </w:rPr>
            </w:pPr>
            <w:r w:rsidRPr="00626A29">
              <w:rPr>
                <w:i/>
                <w:iCs/>
                <w:sz w:val="18"/>
                <w:szCs w:val="18"/>
                <w:lang w:val="en-GB" w:eastAsia="zh-CN"/>
              </w:rPr>
              <w:t>Provides comparability with the Masters degree where compensation and condonement apply at the Diploma level.</w:t>
            </w:r>
          </w:p>
          <w:p w:rsidRPr="00100383" w:rsidR="00100383" w:rsidP="00626A29" w:rsidRDefault="00626A29" w14:paraId="395C67A1" w14:textId="0C733944">
            <w:pPr>
              <w:pStyle w:val="MainBullet"/>
              <w:numPr>
                <w:ilvl w:val="0"/>
                <w:numId w:val="45"/>
              </w:numPr>
              <w:rPr>
                <w:lang w:val="en-GB" w:eastAsia="zh-CN"/>
              </w:rPr>
            </w:pPr>
            <w:r w:rsidRPr="00626A29">
              <w:rPr>
                <w:i/>
                <w:iCs/>
                <w:sz w:val="18"/>
                <w:szCs w:val="18"/>
                <w:lang w:val="en-GB" w:eastAsia="zh-CN"/>
              </w:rPr>
              <w:t>There is no concept of referral in PG/G Diploma programmes.</w:t>
            </w:r>
            <w:r w:rsidR="00100383">
              <w:t xml:space="preserve"> </w:t>
            </w:r>
          </w:p>
          <w:p w:rsidRPr="00626A29" w:rsidR="00626A29" w:rsidP="00626A29" w:rsidRDefault="00100383" w14:paraId="4E3AA4E2" w14:textId="344E4290">
            <w:pPr>
              <w:pStyle w:val="MainBullet"/>
              <w:numPr>
                <w:ilvl w:val="0"/>
                <w:numId w:val="45"/>
              </w:numPr>
              <w:rPr>
                <w:lang w:val="en-GB" w:eastAsia="zh-CN"/>
              </w:rPr>
            </w:pPr>
            <w:r w:rsidRPr="00100383">
              <w:rPr>
                <w:i/>
                <w:iCs/>
                <w:sz w:val="18"/>
                <w:szCs w:val="18"/>
                <w:lang w:val="en-GB" w:eastAsia="zh-CN"/>
              </w:rPr>
              <w:t>The maxima are designed to achieve an appropriate balance between providing a safety net in the event of modules being failed (usually after reassessment) and ensuring that sufficient credits are passed to merit the award.</w:t>
            </w:r>
          </w:p>
        </w:tc>
      </w:tr>
    </w:tbl>
    <w:p w:rsidRPr="00100383" w:rsidR="00100383" w:rsidP="00100383" w:rsidRDefault="00100383" w14:paraId="17D7A670" w14:textId="77777777">
      <w:pPr>
        <w:pStyle w:val="Heading1"/>
      </w:pPr>
      <w:bookmarkStart w:name="_Toc173339527" w:id="34"/>
      <w:r w:rsidRPr="00100383">
        <w:t>Compensation</w:t>
      </w:r>
      <w:bookmarkEnd w:id="34"/>
      <w:r w:rsidRPr="00100383">
        <w:t xml:space="preserve"> </w:t>
      </w:r>
    </w:p>
    <w:p w:rsidRPr="00100383" w:rsidR="00100383" w:rsidP="00100383" w:rsidRDefault="00100383" w14:paraId="4718DFE4" w14:textId="77777777">
      <w:pPr>
        <w:pStyle w:val="MainBullet"/>
        <w:rPr>
          <w:lang w:val="en-GB" w:eastAsia="zh-CN"/>
        </w:rPr>
      </w:pPr>
      <w:r w:rsidRPr="00100383">
        <w:rPr>
          <w:lang w:val="en-GB" w:eastAsia="zh-CN"/>
        </w:rPr>
        <w:t>Any compulsory or optional module awarded a mark of 35-39 and any Level 7 module awarded a mark of 45-49, shall be passed by compensation (subject to Regulation 25), with no change being made to the mark awarded, provided that the weighted average of all the marks for the level is 50 or greater.</w:t>
      </w:r>
    </w:p>
    <w:p w:rsidRPr="00100383" w:rsidR="00100383" w:rsidP="00100383" w:rsidRDefault="00100383" w14:paraId="2052196D" w14:textId="77777777">
      <w:pPr>
        <w:pStyle w:val="MainBullet"/>
        <w:rPr>
          <w:lang w:val="en-GB" w:eastAsia="zh-CN"/>
        </w:rPr>
      </w:pPr>
      <w:r w:rsidRPr="00100383">
        <w:rPr>
          <w:lang w:val="en-GB" w:eastAsia="zh-CN"/>
        </w:rPr>
        <w:t>A candidate may waive the right to pass a module by compensation and choose instead to be reassessed. If the reassessment is subsequently failed, then the original pass by compensation shall be reinstated.</w:t>
      </w:r>
    </w:p>
    <w:tbl>
      <w:tblPr>
        <w:tblStyle w:val="TableGrid"/>
        <w:tblW w:w="0" w:type="auto"/>
        <w:tblInd w:w="680" w:type="dxa"/>
        <w:tblLook w:val="04A0" w:firstRow="1" w:lastRow="0" w:firstColumn="1" w:lastColumn="0" w:noHBand="0" w:noVBand="1"/>
      </w:tblPr>
      <w:tblGrid>
        <w:gridCol w:w="8336"/>
      </w:tblGrid>
      <w:tr w:rsidR="00100383" w:rsidTr="00100383" w14:paraId="38F4EFAC" w14:textId="77777777">
        <w:tc>
          <w:tcPr>
            <w:tcW w:w="8336" w:type="dxa"/>
          </w:tcPr>
          <w:p w:rsidR="00100383" w:rsidP="00100383" w:rsidRDefault="00100383" w14:paraId="65147654" w14:textId="77777777">
            <w:pPr>
              <w:pStyle w:val="MainBullet"/>
              <w:numPr>
                <w:ilvl w:val="0"/>
                <w:numId w:val="47"/>
              </w:numPr>
              <w:rPr>
                <w:i/>
                <w:sz w:val="18"/>
                <w:szCs w:val="18"/>
              </w:rPr>
            </w:pPr>
            <w:r w:rsidRPr="00100383">
              <w:rPr>
                <w:i/>
                <w:sz w:val="18"/>
                <w:szCs w:val="18"/>
              </w:rPr>
              <w:t>26.1: No more than 30 credits may be awarded by compensation.</w:t>
            </w:r>
          </w:p>
          <w:p w:rsidRPr="00100383" w:rsidR="00100383" w:rsidP="00100383" w:rsidRDefault="00100383" w14:paraId="2C544C04" w14:textId="23789C64">
            <w:pPr>
              <w:pStyle w:val="MainBullet"/>
              <w:numPr>
                <w:ilvl w:val="0"/>
                <w:numId w:val="47"/>
              </w:numPr>
              <w:rPr>
                <w:i/>
                <w:sz w:val="18"/>
                <w:szCs w:val="18"/>
              </w:rPr>
            </w:pPr>
            <w:r w:rsidRPr="00100383">
              <w:rPr>
                <w:i/>
                <w:sz w:val="18"/>
                <w:szCs w:val="18"/>
                <w:lang w:val="en-GB" w:eastAsia="zh-CN"/>
              </w:rPr>
              <w:lastRenderedPageBreak/>
              <w:t xml:space="preserve">26.2: ‘Waive the right’ – following the Programme Board the candidate </w:t>
            </w:r>
            <w:r w:rsidRPr="00100383">
              <w:rPr>
                <w:b/>
                <w:i/>
                <w:sz w:val="18"/>
                <w:szCs w:val="18"/>
                <w:lang w:val="en-GB" w:eastAsia="zh-CN"/>
              </w:rPr>
              <w:t>should</w:t>
            </w:r>
            <w:r w:rsidRPr="00100383">
              <w:rPr>
                <w:i/>
                <w:sz w:val="18"/>
                <w:szCs w:val="18"/>
                <w:lang w:val="en-GB" w:eastAsia="zh-CN"/>
              </w:rPr>
              <w:t xml:space="preserve"> be advised (at least in writing) of the option and implications of either choice (bearing in mind the compensation maxima in reg. 25) and be provided with the opportunity to exercise the waiver. The decision to waive </w:t>
            </w:r>
            <w:r w:rsidRPr="00100383">
              <w:rPr>
                <w:b/>
                <w:i/>
                <w:sz w:val="18"/>
                <w:szCs w:val="18"/>
                <w:lang w:val="en-GB" w:eastAsia="zh-CN"/>
              </w:rPr>
              <w:t>must</w:t>
            </w:r>
            <w:r w:rsidRPr="00100383">
              <w:rPr>
                <w:i/>
                <w:sz w:val="18"/>
                <w:szCs w:val="18"/>
                <w:lang w:val="en-GB" w:eastAsia="zh-CN"/>
              </w:rPr>
              <w:t xml:space="preserve"> be confirmed by the candidate in writing; silence would not constitute waiver.</w:t>
            </w:r>
          </w:p>
        </w:tc>
      </w:tr>
    </w:tbl>
    <w:p w:rsidRPr="00100383" w:rsidR="00100383" w:rsidP="00100383" w:rsidRDefault="00100383" w14:paraId="717AA2C7" w14:textId="6F03D89D">
      <w:pPr>
        <w:pStyle w:val="Heading1"/>
      </w:pPr>
      <w:bookmarkStart w:name="_Toc173339528" w:id="35"/>
      <w:r w:rsidRPr="00100383">
        <w:lastRenderedPageBreak/>
        <w:t>Condonement</w:t>
      </w:r>
      <w:bookmarkEnd w:id="35"/>
    </w:p>
    <w:p w:rsidRPr="00100383" w:rsidR="00100383" w:rsidP="00100383" w:rsidRDefault="00100383" w14:paraId="08C39F50" w14:textId="589CB2BB">
      <w:pPr>
        <w:pStyle w:val="MainBullet"/>
        <w:rPr>
          <w:lang w:val="en-GB" w:eastAsia="zh-CN"/>
        </w:rPr>
      </w:pPr>
      <w:r w:rsidRPr="00100383">
        <w:rPr>
          <w:lang w:val="en-GB" w:eastAsia="zh-CN"/>
        </w:rPr>
        <w:t>A candidate who has completed the assessments for all modules in the Certificate and Diploma levels and who has not achieved a pass mark in all modules may (subject to Regulation 25), at the discretion of the Programme Board of Examiners, be condoned in any Level 6 module with a mark of less than 35 and any Level 7 module with a mark less than 45 provided that the weighted average of all the marks for the level is 50 or greater.</w:t>
      </w:r>
    </w:p>
    <w:p w:rsidRPr="00100383" w:rsidR="00100383" w:rsidP="00100383" w:rsidRDefault="00100383" w14:paraId="53C36CA5" w14:textId="681D7097">
      <w:pPr>
        <w:pStyle w:val="MainBullet"/>
        <w:rPr>
          <w:lang w:val="en-GB" w:eastAsia="zh-CN"/>
        </w:rPr>
      </w:pPr>
      <w:r w:rsidRPr="00100383">
        <w:rPr>
          <w:lang w:val="en-GB" w:eastAsia="zh-CN"/>
        </w:rPr>
        <w:t>The total number of credits to be condoned</w:t>
      </w:r>
      <w:r w:rsidRPr="007D2DBD">
        <w:rPr>
          <w:b/>
          <w:bCs w:val="0"/>
          <w:lang w:val="en-GB" w:eastAsia="zh-CN"/>
        </w:rPr>
        <w:t xml:space="preserve"> must</w:t>
      </w:r>
      <w:r w:rsidRPr="00100383">
        <w:rPr>
          <w:lang w:val="en-GB" w:eastAsia="zh-CN"/>
        </w:rPr>
        <w:t xml:space="preserve"> be no greater than 20.</w:t>
      </w:r>
    </w:p>
    <w:p w:rsidRPr="00100383" w:rsidR="00100383" w:rsidP="00100383" w:rsidRDefault="00100383" w14:paraId="0B2BD2B5" w14:textId="5293C8A9">
      <w:pPr>
        <w:pStyle w:val="MainBullet"/>
        <w:rPr>
          <w:lang w:val="en-GB" w:eastAsia="zh-CN"/>
        </w:rPr>
      </w:pPr>
      <w:r w:rsidRPr="00100383">
        <w:rPr>
          <w:lang w:val="en-GB" w:eastAsia="zh-CN"/>
        </w:rPr>
        <w:t xml:space="preserve">In addition to 27.1(a-c) Boards of Examiners </w:t>
      </w:r>
      <w:r w:rsidRPr="007D2DBD">
        <w:rPr>
          <w:b/>
          <w:bCs w:val="0"/>
          <w:lang w:val="en-GB" w:eastAsia="zh-CN"/>
        </w:rPr>
        <w:t xml:space="preserve">should </w:t>
      </w:r>
      <w:r w:rsidRPr="00100383">
        <w:rPr>
          <w:lang w:val="en-GB" w:eastAsia="zh-CN"/>
        </w:rPr>
        <w:t>only exercise condonement in cases where all programme learning outcomes will be achieved within the remaining modules.</w:t>
      </w:r>
    </w:p>
    <w:p w:rsidR="00100383" w:rsidP="00100383" w:rsidRDefault="00100383" w14:paraId="0806C838" w14:textId="77777777">
      <w:pPr>
        <w:pStyle w:val="MainBullet"/>
        <w:rPr>
          <w:lang w:val="en-GB" w:eastAsia="zh-CN"/>
        </w:rPr>
      </w:pPr>
      <w:r w:rsidRPr="00100383">
        <w:rPr>
          <w:lang w:val="en-GB" w:eastAsia="zh-CN"/>
        </w:rPr>
        <w:t>A candidate may reject any condonement given under 27.1 above and exercise any right of re-assessment provided by Regulation 21.</w:t>
      </w:r>
    </w:p>
    <w:p w:rsidRPr="00100383" w:rsidR="00626A29" w:rsidP="00100383" w:rsidRDefault="00100383" w14:paraId="0AFC781F" w14:textId="30715CED">
      <w:pPr>
        <w:pStyle w:val="MainBullet"/>
        <w:rPr>
          <w:lang w:val="en-GB" w:eastAsia="zh-CN"/>
        </w:rPr>
      </w:pPr>
      <w:r w:rsidRPr="00100383">
        <w:rPr>
          <w:lang w:val="en-GB" w:eastAsia="zh-CN"/>
        </w:rPr>
        <w:t>A candidate who is condoned under 27.1 above shall proceed to the award.</w:t>
      </w:r>
    </w:p>
    <w:p w:rsidR="00100383" w:rsidP="00100383" w:rsidRDefault="007F7863" w14:paraId="1471448E" w14:textId="77777777">
      <w:pPr>
        <w:pStyle w:val="Heading1"/>
      </w:pPr>
      <w:bookmarkStart w:name="_Toc173339529" w:id="36"/>
      <w:r w:rsidRPr="007F7863">
        <w:t>Progression to the Award</w:t>
      </w:r>
      <w:bookmarkEnd w:id="36"/>
    </w:p>
    <w:p w:rsidRPr="00100383" w:rsidR="00100383" w:rsidP="00100383" w:rsidRDefault="00100383" w14:paraId="48DB48CB" w14:textId="410C6AFD">
      <w:pPr>
        <w:pStyle w:val="MainBullet"/>
        <w:rPr>
          <w:lang w:val="en-GB" w:eastAsia="zh-CN"/>
        </w:rPr>
      </w:pPr>
      <w:r w:rsidRPr="00100383">
        <w:t>A candidate who is awarded a pass in all modules in the Certificate and Diploma levels shall proceed to the Award.</w:t>
      </w:r>
    </w:p>
    <w:p w:rsidR="007F7863" w:rsidP="007F7863" w:rsidRDefault="007F7863" w14:paraId="36A5732E" w14:textId="77777777">
      <w:pPr>
        <w:pStyle w:val="Heading1"/>
      </w:pPr>
      <w:bookmarkStart w:name="_Toc173339530" w:id="37"/>
      <w:r w:rsidRPr="007F7863">
        <w:t>Ineligibility to proceed to the Award</w:t>
      </w:r>
      <w:bookmarkEnd w:id="37"/>
    </w:p>
    <w:p w:rsidRPr="00100383" w:rsidR="00100383" w:rsidP="00100383" w:rsidRDefault="00100383" w14:paraId="00CB12BF" w14:textId="748E0656">
      <w:pPr>
        <w:pStyle w:val="MainBullet"/>
        <w:rPr>
          <w:lang w:val="en-GB" w:eastAsia="zh-CN"/>
        </w:rPr>
      </w:pPr>
      <w:r w:rsidRPr="00100383">
        <w:t>A candidate ineligible to proceed to the award shall be awarded:</w:t>
      </w:r>
    </w:p>
    <w:p w:rsidRPr="00100383" w:rsidR="00100383" w:rsidP="00100383" w:rsidRDefault="00100383" w14:paraId="099ACEA1" w14:textId="77777777">
      <w:pPr>
        <w:pStyle w:val="MainBullet"/>
        <w:numPr>
          <w:ilvl w:val="2"/>
          <w:numId w:val="27"/>
        </w:numPr>
      </w:pPr>
      <w:r w:rsidRPr="00100383">
        <w:t>with at least 60 credits a Postgraduate or Graduate Certificate</w:t>
      </w:r>
    </w:p>
    <w:p w:rsidRPr="00100383" w:rsidR="00100383" w:rsidP="00100383" w:rsidRDefault="00100383" w14:paraId="12F5B488" w14:textId="77777777">
      <w:pPr>
        <w:pStyle w:val="MainBullet"/>
        <w:numPr>
          <w:ilvl w:val="2"/>
          <w:numId w:val="27"/>
        </w:numPr>
      </w:pPr>
      <w:r w:rsidRPr="00100383">
        <w:t>with less than 60 credits, the credits for all modules passed.</w:t>
      </w:r>
    </w:p>
    <w:p w:rsidR="00100383" w:rsidP="00100383" w:rsidRDefault="00100383" w14:paraId="615AF847" w14:textId="77777777">
      <w:pPr>
        <w:pStyle w:val="MainBullet"/>
      </w:pPr>
      <w:r w:rsidRPr="00100383">
        <w:t>Any award under 29.1 shall be subject to a minimum of 60 credits having been awarded by this University.</w:t>
      </w:r>
    </w:p>
    <w:p w:rsidR="00100383" w:rsidP="00100383" w:rsidRDefault="00100383" w14:paraId="77FCE989" w14:textId="518473CA">
      <w:pPr>
        <w:pStyle w:val="MainBullet"/>
      </w:pPr>
      <w:r w:rsidRPr="00100383">
        <w:t>Any award under this Regulation shall be made provided that Certificates in Higher Education for professional programmes shall not be awarded in a named subject which implies that the candidate is entitled to practise that profession.</w:t>
      </w:r>
    </w:p>
    <w:tbl>
      <w:tblPr>
        <w:tblStyle w:val="TableGrid"/>
        <w:tblW w:w="0" w:type="auto"/>
        <w:tblInd w:w="680" w:type="dxa"/>
        <w:tblLook w:val="04A0" w:firstRow="1" w:lastRow="0" w:firstColumn="1" w:lastColumn="0" w:noHBand="0" w:noVBand="1"/>
      </w:tblPr>
      <w:tblGrid>
        <w:gridCol w:w="8336"/>
      </w:tblGrid>
      <w:tr w:rsidR="00100383" w:rsidTr="00100383" w14:paraId="598C557B" w14:textId="77777777">
        <w:tc>
          <w:tcPr>
            <w:tcW w:w="9016" w:type="dxa"/>
          </w:tcPr>
          <w:p w:rsidRPr="00100383" w:rsidR="00100383" w:rsidP="00100383" w:rsidRDefault="00100383" w14:paraId="11432FC5" w14:textId="7DE6E89E">
            <w:pPr>
              <w:pStyle w:val="MainBullet"/>
              <w:numPr>
                <w:ilvl w:val="0"/>
                <w:numId w:val="0"/>
              </w:numPr>
              <w:rPr>
                <w:i/>
                <w:iCs/>
                <w:sz w:val="18"/>
                <w:szCs w:val="18"/>
              </w:rPr>
            </w:pPr>
            <w:r w:rsidRPr="00100383">
              <w:rPr>
                <w:i/>
                <w:iCs/>
                <w:sz w:val="18"/>
                <w:szCs w:val="18"/>
              </w:rPr>
              <w:t>29.3: Designed to ensure that a candidate is not awarded a certificate/diploma which implies they are entitled to practise a particular profession (such as Social Work) where this is not the case. The Programme Board of Examiners is responsible for recommending the title of the award for approval by SCC.</w:t>
            </w:r>
          </w:p>
        </w:tc>
      </w:tr>
    </w:tbl>
    <w:p w:rsidRPr="00100383" w:rsidR="00100383" w:rsidP="00100383" w:rsidRDefault="00100383" w14:paraId="2E4D252C" w14:textId="77777777">
      <w:pPr>
        <w:pStyle w:val="MainBullet"/>
        <w:numPr>
          <w:ilvl w:val="0"/>
          <w:numId w:val="0"/>
        </w:numPr>
        <w:ind w:left="680"/>
      </w:pPr>
    </w:p>
    <w:p w:rsidRPr="00874148" w:rsidR="00874148" w:rsidP="00874148" w:rsidRDefault="00874148" w14:paraId="1EF8D3BF" w14:textId="77777777">
      <w:pPr>
        <w:pStyle w:val="Heading1"/>
      </w:pPr>
      <w:bookmarkStart w:name="_Toc173339531" w:id="38"/>
      <w:r w:rsidRPr="00874148">
        <w:t>Aegrotat Awards</w:t>
      </w:r>
      <w:bookmarkEnd w:id="38"/>
    </w:p>
    <w:p w:rsidRPr="00874148" w:rsidR="00874148" w:rsidP="00874148" w:rsidRDefault="00874148" w14:paraId="4AE01775" w14:textId="77777777">
      <w:pPr>
        <w:pStyle w:val="MainBullet"/>
        <w:rPr>
          <w:lang w:val="en-GB" w:eastAsia="zh-CN"/>
        </w:rPr>
      </w:pPr>
      <w:r w:rsidRPr="00874148">
        <w:rPr>
          <w:lang w:val="en-GB" w:eastAsia="zh-CN"/>
        </w:rPr>
        <w:t>An Aegrotat award is an award without classification that may be conferred upon a candidate on the presumption that the candidate, who is unable to continue their studies, would have satisfied the standard required for the award had they been able to continue.</w:t>
      </w:r>
    </w:p>
    <w:p w:rsidRPr="00874148" w:rsidR="00874148" w:rsidP="00874148" w:rsidRDefault="00874148" w14:paraId="11F0D1E0" w14:textId="77777777">
      <w:pPr>
        <w:pStyle w:val="MainBullet"/>
        <w:rPr>
          <w:lang w:val="en-GB" w:eastAsia="zh-CN"/>
        </w:rPr>
      </w:pPr>
      <w:r w:rsidRPr="00874148">
        <w:rPr>
          <w:lang w:val="en-GB" w:eastAsia="zh-CN"/>
        </w:rPr>
        <w:lastRenderedPageBreak/>
        <w:t xml:space="preserve">The Student Cases Committee shall consider applications from Programme Boards for the award of an Aegrotat degree, diploma or certificate.  </w:t>
      </w:r>
    </w:p>
    <w:p w:rsidRPr="00874148" w:rsidR="00874148" w:rsidP="00874148" w:rsidRDefault="00874148" w14:paraId="5EB04734" w14:textId="77777777">
      <w:pPr>
        <w:pStyle w:val="MainBullet"/>
        <w:rPr>
          <w:lang w:val="en-GB" w:eastAsia="zh-CN"/>
        </w:rPr>
      </w:pPr>
      <w:r w:rsidRPr="00874148">
        <w:rPr>
          <w:lang w:val="en-GB" w:eastAsia="zh-CN"/>
        </w:rPr>
        <w:t>Aegrotat awards may be made in accordance with the Regulations for the award listed below.</w:t>
      </w:r>
    </w:p>
    <w:p w:rsidRPr="00874148" w:rsidR="00874148" w:rsidP="00874148" w:rsidRDefault="00874148" w14:paraId="2BA88503" w14:textId="77777777">
      <w:pPr>
        <w:pStyle w:val="MainBullet"/>
        <w:rPr>
          <w:lang w:val="en-GB" w:eastAsia="zh-CN"/>
        </w:rPr>
      </w:pPr>
      <w:r w:rsidRPr="00874148">
        <w:rPr>
          <w:lang w:val="en-GB" w:eastAsia="zh-CN"/>
        </w:rPr>
        <w:t xml:space="preserve">For undergraduate and postgraduate taught students, the Aegrotat award will normally correspond to the level of study which is interrupted.  Such an award is contingent on there being sufficient evidence that had the study not been interrupted, the student would have completed the level in question.  In the absence of such evidence, the Aegrotat award will be the relevant exit award for the body of study completed.  </w:t>
      </w:r>
    </w:p>
    <w:p w:rsidRPr="00874148" w:rsidR="00874148" w:rsidP="00874148" w:rsidRDefault="00874148" w14:paraId="42DC35A1" w14:textId="77777777">
      <w:pPr>
        <w:pStyle w:val="MainBullet"/>
        <w:rPr>
          <w:lang w:val="en-GB" w:eastAsia="zh-CN"/>
        </w:rPr>
      </w:pPr>
      <w:r w:rsidRPr="00874148">
        <w:rPr>
          <w:lang w:val="en-GB" w:eastAsia="zh-CN"/>
        </w:rPr>
        <w:t>An Aegrotat degree, diploma or certificate shall be unclassified and, in all other respects, un-graded. An Aegrotat award does not necessarily entitle the holder to registration with a professional body or be exempt from the requirements of any professional qualification which might otherwise be associated with the programme of study concerned.</w:t>
      </w:r>
    </w:p>
    <w:p w:rsidRPr="00874148" w:rsidR="00874148" w:rsidP="00874148" w:rsidRDefault="00874148" w14:paraId="15022E5E" w14:textId="77777777">
      <w:pPr>
        <w:pStyle w:val="MainBullet"/>
        <w:rPr>
          <w:lang w:val="en-GB" w:eastAsia="zh-CN"/>
        </w:rPr>
      </w:pPr>
      <w:r w:rsidRPr="00874148">
        <w:rPr>
          <w:lang w:val="en-GB" w:eastAsia="zh-CN"/>
        </w:rPr>
        <w:t>Candidates pursuing programmes that may lead to a professional registration who are subsequently awarded an Aegrotat degree, diploma or certificate may not be eligible for such a registration. This would be confirmed by the Programme Board in making their recommendation to the Student Cases Committee.</w:t>
      </w:r>
    </w:p>
    <w:p w:rsidRPr="00874148" w:rsidR="00874148" w:rsidP="00874148" w:rsidRDefault="00874148" w14:paraId="0FB98D90" w14:textId="77777777">
      <w:pPr>
        <w:pStyle w:val="MainBullet"/>
        <w:rPr>
          <w:lang w:val="en-GB" w:eastAsia="zh-CN"/>
        </w:rPr>
      </w:pPr>
      <w:r w:rsidRPr="00874148">
        <w:rPr>
          <w:lang w:val="en-GB" w:eastAsia="zh-CN"/>
        </w:rPr>
        <w:t>An Aegrotat degree shall normally be a named award except in those cases where professional body requirements dictate that a named award is not appropriate. The full degree title of an Aegrotat award shall be considered as part of the procedures for considering the award and shall be made known to the candidate prior to their acceptance of the award.</w:t>
      </w:r>
    </w:p>
    <w:p w:rsidRPr="00874148" w:rsidR="00874148" w:rsidP="00874148" w:rsidRDefault="00874148" w14:paraId="326BF22F" w14:textId="77777777">
      <w:pPr>
        <w:pStyle w:val="MainBullet"/>
        <w:rPr>
          <w:lang w:val="en-GB" w:eastAsia="zh-CN"/>
        </w:rPr>
      </w:pPr>
      <w:r w:rsidRPr="00874148">
        <w:rPr>
          <w:lang w:val="en-GB" w:eastAsia="zh-CN"/>
        </w:rPr>
        <w:t xml:space="preserve">The request for the award of an Aegrotat award may be made by the candidate or where a candidate is unable to prepare or submit a request, by the Programme Board.  All requests shall be submitted to the Secretary to the Student Cases Committee or for Research Degrees to the Secretary to the Research Degrees Committee.  </w:t>
      </w:r>
    </w:p>
    <w:p w:rsidRPr="00874148" w:rsidR="00874148" w:rsidP="00874148" w:rsidRDefault="00874148" w14:paraId="306FB99C" w14:textId="77777777">
      <w:pPr>
        <w:pStyle w:val="MainBullet"/>
        <w:rPr>
          <w:lang w:val="en-GB" w:eastAsia="zh-CN"/>
        </w:rPr>
      </w:pPr>
      <w:r w:rsidRPr="00874148">
        <w:rPr>
          <w:lang w:val="en-GB" w:eastAsia="zh-CN"/>
        </w:rPr>
        <w:t>The candidate shall be required to indicate that they are willing to accept an Aegrotat award.  Where a candidate is unwilling to accept an Aegrotat award, they shall be permitted to complete the examination or assessment in question by the approved subsequent date.</w:t>
      </w:r>
    </w:p>
    <w:p w:rsidRPr="00874148" w:rsidR="00874148" w:rsidP="00874148" w:rsidRDefault="00874148" w14:paraId="6CBE92D1" w14:textId="77777777">
      <w:pPr>
        <w:pStyle w:val="MainBullet"/>
        <w:rPr>
          <w:lang w:val="en-GB" w:eastAsia="zh-CN"/>
        </w:rPr>
      </w:pPr>
      <w:r w:rsidRPr="00874148">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874148" w:rsidR="00874148" w:rsidP="00874148" w:rsidRDefault="00874148" w14:paraId="66135C93" w14:textId="77777777">
      <w:pPr>
        <w:pStyle w:val="MainBullet"/>
        <w:rPr>
          <w:lang w:val="en-GB" w:eastAsia="zh-CN"/>
        </w:rPr>
      </w:pPr>
      <w:r w:rsidRPr="00874148">
        <w:rPr>
          <w:lang w:val="en-GB" w:eastAsia="zh-CN"/>
        </w:rPr>
        <w:t xml:space="preserve">The Programme Board </w:t>
      </w:r>
      <w:r w:rsidRPr="00B01082">
        <w:rPr>
          <w:b/>
          <w:bCs w:val="0"/>
          <w:lang w:val="en-GB" w:eastAsia="zh-CN"/>
        </w:rPr>
        <w:t xml:space="preserve">must </w:t>
      </w:r>
      <w:r w:rsidRPr="00874148">
        <w:rPr>
          <w:lang w:val="en-GB" w:eastAsia="zh-CN"/>
        </w:rPr>
        <w:t>be satisfied that:</w:t>
      </w:r>
    </w:p>
    <w:p w:rsidRPr="00874148" w:rsidR="00874148" w:rsidP="00874148" w:rsidRDefault="00874148" w14:paraId="0FD36EF6" w14:textId="77777777">
      <w:pPr>
        <w:pStyle w:val="MainBullet"/>
        <w:numPr>
          <w:ilvl w:val="2"/>
          <w:numId w:val="27"/>
        </w:numPr>
        <w:rPr>
          <w:lang w:val="en-GB" w:eastAsia="zh-CN"/>
        </w:rPr>
      </w:pPr>
      <w:r w:rsidRPr="00874148">
        <w:rPr>
          <w:lang w:val="en-GB" w:eastAsia="zh-CN"/>
        </w:rPr>
        <w:t xml:space="preserve">the candidate is unlikely to be able to return to complete their study at a later date, and </w:t>
      </w:r>
    </w:p>
    <w:p w:rsidRPr="00874148" w:rsidR="00874148" w:rsidP="00874148" w:rsidRDefault="00874148" w14:paraId="71CB1B59" w14:textId="43ACC8E3">
      <w:pPr>
        <w:pStyle w:val="MainBullet"/>
        <w:numPr>
          <w:ilvl w:val="2"/>
          <w:numId w:val="27"/>
        </w:numPr>
        <w:rPr>
          <w:lang w:val="en-GB" w:eastAsia="zh-CN"/>
        </w:rPr>
      </w:pPr>
      <w:r w:rsidRPr="00874148">
        <w:rPr>
          <w:lang w:val="en-GB" w:eastAsia="zh-CN"/>
        </w:rPr>
        <w:t>that the candidate’s prior performance demonstrates that they would have passed but for the illness/event which occurred.</w:t>
      </w:r>
    </w:p>
    <w:p w:rsidRPr="00874148" w:rsidR="00874148" w:rsidP="00874148" w:rsidRDefault="00874148" w14:paraId="17E5290F" w14:textId="77777777">
      <w:pPr>
        <w:pStyle w:val="MainBullet"/>
        <w:rPr>
          <w:lang w:val="en-GB" w:eastAsia="zh-CN"/>
        </w:rPr>
      </w:pPr>
      <w:r w:rsidRPr="00874148">
        <w:rPr>
          <w:lang w:val="en-GB" w:eastAsia="zh-CN"/>
        </w:rPr>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874148" w:rsidR="00874148" w:rsidP="00874148" w:rsidRDefault="00874148" w14:paraId="7505ED07" w14:textId="77777777">
      <w:pPr>
        <w:pStyle w:val="MainBullet"/>
        <w:rPr>
          <w:lang w:val="en-GB" w:eastAsia="zh-CN"/>
        </w:rPr>
      </w:pPr>
      <w:r w:rsidRPr="00874148">
        <w:rPr>
          <w:lang w:val="en-GB" w:eastAsia="zh-CN"/>
        </w:rPr>
        <w:lastRenderedPageBreak/>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candidate.</w:t>
      </w:r>
    </w:p>
    <w:p w:rsidRPr="00874148" w:rsidR="00874148" w:rsidP="00874148" w:rsidRDefault="00874148" w14:paraId="12F5ABBE" w14:textId="77777777">
      <w:pPr>
        <w:pStyle w:val="MainBullet"/>
        <w:rPr>
          <w:lang w:val="en-GB" w:eastAsia="zh-CN"/>
        </w:rPr>
      </w:pPr>
      <w:r w:rsidRPr="00874148">
        <w:rPr>
          <w:lang w:val="en-GB" w:eastAsia="zh-CN"/>
        </w:rPr>
        <w:t xml:space="preserve">The Programme Board shall make a recommendation to the Student Cases Committee on each case.  The recommendation shall include: </w:t>
      </w:r>
    </w:p>
    <w:p w:rsidRPr="00874148" w:rsidR="00874148" w:rsidP="00874148" w:rsidRDefault="00874148" w14:paraId="75CA5F5A" w14:textId="77777777">
      <w:pPr>
        <w:pStyle w:val="MainBullet"/>
        <w:numPr>
          <w:ilvl w:val="2"/>
          <w:numId w:val="27"/>
        </w:numPr>
        <w:rPr>
          <w:lang w:val="en-GB" w:eastAsia="zh-CN"/>
        </w:rPr>
      </w:pPr>
      <w:r w:rsidRPr="00874148">
        <w:rPr>
          <w:lang w:val="en-GB" w:eastAsia="zh-CN"/>
        </w:rPr>
        <w:t>details of the academic standing of the candidate</w:t>
      </w:r>
    </w:p>
    <w:p w:rsidRPr="00874148" w:rsidR="00874148" w:rsidP="00874148" w:rsidRDefault="00874148" w14:paraId="6FB8FCE6" w14:textId="77777777">
      <w:pPr>
        <w:pStyle w:val="MainBullet"/>
        <w:numPr>
          <w:ilvl w:val="2"/>
          <w:numId w:val="27"/>
        </w:numPr>
        <w:rPr>
          <w:lang w:val="en-GB" w:eastAsia="zh-CN"/>
        </w:rPr>
      </w:pPr>
      <w:r w:rsidRPr="00874148">
        <w:rPr>
          <w:lang w:val="en-GB" w:eastAsia="zh-CN"/>
        </w:rPr>
        <w:t>details on the causes which prevented the candidate from attempting the whole or part of the assessment(s)</w:t>
      </w:r>
    </w:p>
    <w:p w:rsidRPr="00874148" w:rsidR="00874148" w:rsidP="00874148" w:rsidRDefault="00874148" w14:paraId="26CAF17A" w14:textId="77777777">
      <w:pPr>
        <w:pStyle w:val="MainBullet"/>
        <w:numPr>
          <w:ilvl w:val="2"/>
          <w:numId w:val="27"/>
        </w:numPr>
        <w:rPr>
          <w:lang w:val="en-GB" w:eastAsia="zh-CN"/>
        </w:rPr>
      </w:pPr>
      <w:r w:rsidRPr="00874148">
        <w:rPr>
          <w:lang w:val="en-GB" w:eastAsia="zh-CN"/>
        </w:rPr>
        <w:t>details of medical evidence or other appropriate documentation</w:t>
      </w:r>
    </w:p>
    <w:p w:rsidRPr="00874148" w:rsidR="00874148" w:rsidP="00874148" w:rsidRDefault="00874148" w14:paraId="529E9AC7" w14:textId="77777777">
      <w:pPr>
        <w:pStyle w:val="MainBullet"/>
        <w:numPr>
          <w:ilvl w:val="2"/>
          <w:numId w:val="27"/>
        </w:numPr>
        <w:rPr>
          <w:lang w:val="en-GB" w:eastAsia="zh-CN"/>
        </w:rPr>
      </w:pPr>
      <w:r w:rsidRPr="00874148">
        <w:rPr>
          <w:lang w:val="en-GB" w:eastAsia="zh-CN"/>
        </w:rPr>
        <w:t>recommendation from the Occupational Health Department and/or suitably qualified practitioner, as specified by the University (if appropriate)</w:t>
      </w:r>
    </w:p>
    <w:p w:rsidRPr="00874148" w:rsidR="00874148" w:rsidP="00874148" w:rsidRDefault="00874148" w14:paraId="29A4ACBF" w14:textId="77777777">
      <w:pPr>
        <w:pStyle w:val="MainBullet"/>
        <w:numPr>
          <w:ilvl w:val="2"/>
          <w:numId w:val="27"/>
        </w:numPr>
        <w:rPr>
          <w:lang w:val="en-GB" w:eastAsia="zh-CN"/>
        </w:rPr>
      </w:pPr>
      <w:r w:rsidRPr="00874148">
        <w:rPr>
          <w:lang w:val="en-GB" w:eastAsia="zh-CN"/>
        </w:rPr>
        <w:t>evidence on the prospects of the candidate completing the assessment(s) in a subsequent year within the time-limit</w:t>
      </w:r>
    </w:p>
    <w:p w:rsidRPr="00874148" w:rsidR="00874148" w:rsidP="00874148" w:rsidRDefault="00874148" w14:paraId="2D83D6CE" w14:textId="77777777">
      <w:pPr>
        <w:pStyle w:val="MainBullet"/>
        <w:numPr>
          <w:ilvl w:val="2"/>
          <w:numId w:val="27"/>
        </w:numPr>
        <w:rPr>
          <w:lang w:val="en-GB" w:eastAsia="zh-CN"/>
        </w:rPr>
      </w:pPr>
      <w:r w:rsidRPr="00874148">
        <w:rPr>
          <w:lang w:val="en-GB" w:eastAsia="zh-CN"/>
        </w:rPr>
        <w:t>a recommendation on the title of the Aegrotat Award if it is not considered appropriate for the award to be named</w:t>
      </w:r>
    </w:p>
    <w:p w:rsidRPr="00874148" w:rsidR="00874148" w:rsidP="00874148" w:rsidRDefault="00874148" w14:paraId="35D47840" w14:textId="77777777">
      <w:pPr>
        <w:pStyle w:val="MainBullet"/>
        <w:numPr>
          <w:ilvl w:val="2"/>
          <w:numId w:val="27"/>
        </w:numPr>
        <w:rPr>
          <w:lang w:val="en-GB" w:eastAsia="zh-CN"/>
        </w:rPr>
      </w:pPr>
      <w:r w:rsidRPr="00874148">
        <w:rPr>
          <w:lang w:val="en-GB" w:eastAsia="zh-CN"/>
        </w:rPr>
        <w:t>a signed statement from the candidate indicating that they are willing to accept an Aegrotat degree.</w:t>
      </w:r>
    </w:p>
    <w:p w:rsidRPr="00874148" w:rsidR="00874148" w:rsidP="00874148" w:rsidRDefault="00874148" w14:paraId="3315F9CE" w14:textId="77777777">
      <w:pPr>
        <w:pStyle w:val="MainBullet"/>
        <w:numPr>
          <w:ilvl w:val="0"/>
          <w:numId w:val="0"/>
        </w:numPr>
        <w:rPr>
          <w:lang w:val="en-GB" w:eastAsia="zh-CN"/>
        </w:rPr>
      </w:pPr>
    </w:p>
    <w:p w:rsidRPr="00874148" w:rsidR="00874148" w:rsidP="00874148" w:rsidRDefault="00874148" w14:paraId="6D1D2368" w14:textId="77777777">
      <w:pPr>
        <w:pStyle w:val="MainBullet"/>
        <w:rPr>
          <w:lang w:val="en-GB" w:eastAsia="zh-CN"/>
        </w:rPr>
      </w:pPr>
      <w:r w:rsidRPr="00874148">
        <w:rPr>
          <w:lang w:val="en-GB" w:eastAsia="zh-CN"/>
        </w:rPr>
        <w:t>The Student Cases Committee shall approve or not approve the award.  The decision shall be conveyed to the candidate and reported to the appropriate academic unit.</w:t>
      </w:r>
    </w:p>
    <w:p w:rsidRPr="00874148" w:rsidR="00874148" w:rsidP="00874148" w:rsidRDefault="00874148" w14:paraId="453CECEE" w14:textId="77777777">
      <w:pPr>
        <w:pStyle w:val="Heading1"/>
      </w:pPr>
      <w:bookmarkStart w:name="_Toc173339532" w:id="39"/>
      <w:r w:rsidRPr="00874148">
        <w:t>Posthumous Awards</w:t>
      </w:r>
      <w:bookmarkEnd w:id="39"/>
    </w:p>
    <w:p w:rsidRPr="00874148" w:rsidR="00874148" w:rsidP="00874148" w:rsidRDefault="00874148" w14:paraId="4D5A48EB" w14:textId="77777777">
      <w:pPr>
        <w:pStyle w:val="MainBullet"/>
        <w:rPr>
          <w:lang w:val="en-GB" w:eastAsia="zh-CN"/>
        </w:rPr>
      </w:pPr>
      <w:r w:rsidRPr="00874148">
        <w:rPr>
          <w:lang w:val="en-GB" w:eastAsia="zh-CN"/>
        </w:rPr>
        <w:t xml:space="preserve">A posthumous qualification may be awarded to a deceased student who has completed sufficient study for the award. </w:t>
      </w:r>
    </w:p>
    <w:p w:rsidRPr="00874148" w:rsidR="00874148" w:rsidP="00874148" w:rsidRDefault="00874148" w14:paraId="1BAC2CC6" w14:textId="77777777">
      <w:pPr>
        <w:pStyle w:val="MainBullet"/>
        <w:rPr>
          <w:lang w:val="en-GB" w:eastAsia="zh-CN"/>
        </w:rPr>
      </w:pPr>
      <w:r w:rsidRPr="00874148">
        <w:rPr>
          <w:lang w:val="en-GB" w:eastAsia="zh-CN"/>
        </w:rPr>
        <w:t xml:space="preserve">A Programme Board may recommend to the Student Cases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B01082">
        <w:rPr>
          <w:b/>
          <w:bCs w:val="0"/>
          <w:lang w:val="en-GB" w:eastAsia="zh-CN"/>
        </w:rPr>
        <w:t>should</w:t>
      </w:r>
      <w:r w:rsidRPr="00874148">
        <w:rPr>
          <w:lang w:val="en-GB" w:eastAsia="zh-CN"/>
        </w:rPr>
        <w:t xml:space="preserve"> be made by the Faculty to the Research Degrees Committee</w:t>
      </w:r>
    </w:p>
    <w:p w:rsidRPr="00874148" w:rsidR="00874148" w:rsidP="00874148" w:rsidRDefault="00874148" w14:paraId="599E773B" w14:textId="77777777">
      <w:pPr>
        <w:pStyle w:val="MainBullet"/>
        <w:rPr>
          <w:lang w:val="en-GB" w:eastAsia="zh-CN"/>
        </w:rPr>
      </w:pPr>
      <w:r w:rsidRPr="00874148">
        <w:rPr>
          <w:lang w:val="en-GB" w:eastAsia="zh-CN"/>
        </w:rPr>
        <w:t>A posthumous degree shall normally be a named award, as appropriate, except in those cases where professional body requirements dictate otherwise.</w:t>
      </w:r>
    </w:p>
    <w:p w:rsidRPr="00874148" w:rsidR="00874148" w:rsidP="00874148" w:rsidRDefault="00874148" w14:paraId="2F5100F4" w14:textId="77777777">
      <w:pPr>
        <w:pStyle w:val="MainBullet"/>
        <w:rPr>
          <w:lang w:val="en-GB" w:eastAsia="zh-CN"/>
        </w:rPr>
      </w:pPr>
      <w:r w:rsidRPr="00874148">
        <w:rPr>
          <w:lang w:val="en-GB" w:eastAsia="zh-CN"/>
        </w:rPr>
        <w:t xml:space="preserve">If the candidate had completed all the assessment requirements for the award, the case </w:t>
      </w:r>
      <w:r w:rsidRPr="00B01082">
        <w:rPr>
          <w:b/>
          <w:bCs w:val="0"/>
          <w:lang w:val="en-GB" w:eastAsia="zh-CN"/>
        </w:rPr>
        <w:t>should</w:t>
      </w:r>
      <w:r w:rsidRPr="00874148">
        <w:rPr>
          <w:lang w:val="en-GB" w:eastAsia="zh-CN"/>
        </w:rPr>
        <w:t xml:space="preserve"> be considered by the appropriate Programme Board.</w:t>
      </w:r>
    </w:p>
    <w:p w:rsidRPr="00874148" w:rsidR="00874148" w:rsidP="00874148" w:rsidRDefault="00874148" w14:paraId="519E6768" w14:textId="77777777">
      <w:pPr>
        <w:pStyle w:val="MainBullet"/>
        <w:rPr>
          <w:lang w:val="en-GB" w:eastAsia="zh-CN"/>
        </w:rPr>
      </w:pPr>
      <w:r w:rsidRPr="00874148">
        <w:rPr>
          <w:lang w:val="en-GB" w:eastAsia="zh-CN"/>
        </w:rPr>
        <w:t xml:space="preserve">Application for consideration for a posthumous award </w:t>
      </w:r>
      <w:r w:rsidRPr="00B01082">
        <w:rPr>
          <w:b/>
          <w:bCs w:val="0"/>
          <w:lang w:val="en-GB" w:eastAsia="zh-CN"/>
        </w:rPr>
        <w:t xml:space="preserve">must </w:t>
      </w:r>
      <w:r w:rsidRPr="00874148">
        <w:rPr>
          <w:lang w:val="en-GB" w:eastAsia="zh-CN"/>
        </w:rPr>
        <w:t xml:space="preserve">be made by the candidate’s Academic unit. </w:t>
      </w:r>
    </w:p>
    <w:p w:rsidRPr="00874148" w:rsidR="00874148" w:rsidP="00874148" w:rsidRDefault="00874148" w14:paraId="2CF0B4FF" w14:textId="77777777">
      <w:pPr>
        <w:pStyle w:val="MainBullet"/>
        <w:rPr>
          <w:lang w:val="en-GB" w:eastAsia="zh-CN"/>
        </w:rPr>
      </w:pPr>
      <w:r w:rsidRPr="00874148">
        <w:rPr>
          <w:lang w:val="en-GB" w:eastAsia="zh-CN"/>
        </w:rPr>
        <w:t>The application shall be considered by the Student Cases Committee with reference to the recommendation of the Programme Board</w:t>
      </w:r>
    </w:p>
    <w:p w:rsidRPr="00874148" w:rsidR="00874148" w:rsidP="00874148" w:rsidRDefault="00874148" w14:paraId="295C686A" w14:textId="77777777">
      <w:pPr>
        <w:pStyle w:val="MainBullet"/>
        <w:rPr>
          <w:lang w:val="en-GB" w:eastAsia="zh-CN"/>
        </w:rPr>
      </w:pPr>
      <w:r w:rsidRPr="00874148">
        <w:rPr>
          <w:lang w:val="en-GB" w:eastAsia="zh-CN"/>
        </w:rPr>
        <w:t xml:space="preserve">The Student Cases Committee shall approve or not approve the award.  </w:t>
      </w:r>
    </w:p>
    <w:p w:rsidRPr="00874148" w:rsidR="00874148" w:rsidP="00874148" w:rsidRDefault="00874148" w14:paraId="591E72D0" w14:textId="77777777">
      <w:pPr>
        <w:pStyle w:val="MainBullet"/>
        <w:rPr>
          <w:lang w:val="en-GB" w:eastAsia="zh-CN"/>
        </w:rPr>
      </w:pPr>
      <w:r w:rsidRPr="00874148">
        <w:rPr>
          <w:lang w:val="en-GB" w:eastAsia="zh-CN"/>
        </w:rPr>
        <w:t xml:space="preserve">If the Student Cases Committee approves the award, the candidate’s family or next of </w:t>
      </w:r>
      <w:r w:rsidRPr="00874148">
        <w:rPr>
          <w:lang w:val="en-GB" w:eastAsia="zh-CN"/>
        </w:rPr>
        <w:lastRenderedPageBreak/>
        <w:t xml:space="preserve">kin </w:t>
      </w:r>
      <w:r w:rsidRPr="00B01082">
        <w:rPr>
          <w:b/>
          <w:bCs w:val="0"/>
          <w:lang w:val="en-GB" w:eastAsia="zh-CN"/>
        </w:rPr>
        <w:t>must</w:t>
      </w:r>
      <w:r w:rsidRPr="00874148">
        <w:rPr>
          <w:lang w:val="en-GB" w:eastAsia="zh-CN"/>
        </w:rPr>
        <w:t xml:space="preserve"> be allowed to decide whether they would like the award to be made.</w:t>
      </w:r>
    </w:p>
    <w:p w:rsidRPr="00874148" w:rsidR="00874148" w:rsidP="00874148" w:rsidRDefault="00874148" w14:paraId="1B9AABCA" w14:textId="77777777">
      <w:pPr>
        <w:pStyle w:val="Heading1"/>
      </w:pPr>
      <w:bookmarkStart w:name="_Toc173339533" w:id="40"/>
      <w:r w:rsidRPr="00874148">
        <w:t>RESULTS AND AWARDS</w:t>
      </w:r>
      <w:bookmarkEnd w:id="40"/>
    </w:p>
    <w:p w:rsidRPr="00874148" w:rsidR="00874148" w:rsidP="00874148" w:rsidRDefault="00874148" w14:paraId="17BD21AD" w14:textId="77777777">
      <w:pPr>
        <w:pStyle w:val="MainBullet"/>
        <w:rPr>
          <w:lang w:val="en-GB" w:eastAsia="zh-CN"/>
        </w:rPr>
      </w:pPr>
      <w:r w:rsidRPr="00874148">
        <w:rPr>
          <w:lang w:val="en-GB" w:eastAsia="zh-CN"/>
        </w:rPr>
        <w:t>Notifications of Results and Transcripts</w:t>
      </w:r>
    </w:p>
    <w:p w:rsidRPr="00874148" w:rsidR="00874148" w:rsidP="00874148" w:rsidRDefault="00874148" w14:paraId="4DC1B3A7" w14:textId="77777777">
      <w:pPr>
        <w:pStyle w:val="MainBullet"/>
        <w:rPr>
          <w:lang w:val="en-GB" w:eastAsia="zh-CN"/>
        </w:rPr>
      </w:pPr>
      <w:r w:rsidRPr="00874148">
        <w:rPr>
          <w:lang w:val="en-GB" w:eastAsia="zh-CN"/>
        </w:rPr>
        <w:t>All candidates shall be given access to their own marks after the completion of each assessment process and - provided they are not in debt to the University for payment of tuition fees - to a full transcript of all credits awarded and marks obtained on completion of their period of enrolment at the University.</w:t>
      </w:r>
    </w:p>
    <w:p w:rsidR="00A93D9D" w:rsidP="00874148" w:rsidRDefault="00874148" w14:paraId="30D2A759" w14:textId="1B15E44A">
      <w:pPr>
        <w:pStyle w:val="MainBullet"/>
        <w:rPr>
          <w:lang w:val="en-GB" w:eastAsia="zh-CN"/>
        </w:rPr>
      </w:pPr>
      <w:r w:rsidRPr="00874148">
        <w:rPr>
          <w:lang w:val="en-GB" w:eastAsia="zh-CN"/>
        </w:rPr>
        <w:t>Note that modules attempted during a year subsequently repeated are not included on the transcript</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3339534" w:id="41"/>
      <w:r w:rsidRPr="00DC1437">
        <w:lastRenderedPageBreak/>
        <w:t xml:space="preserve">Version </w:t>
      </w:r>
      <w:r w:rsidR="00085124">
        <w:t>c</w:t>
      </w:r>
      <w:r w:rsidRPr="00DC1437">
        <w:t>ontrol</w:t>
      </w:r>
      <w:bookmarkEnd w:id="41"/>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246692" w:rsidTr="005E53B3" w14:paraId="6267CC64" w14:textId="77777777">
        <w:tc>
          <w:tcPr>
            <w:tcW w:w="572" w:type="pct"/>
          </w:tcPr>
          <w:p w:rsidRPr="00BB7F66" w:rsidR="00246692" w:rsidP="00246692" w:rsidRDefault="00246692" w14:paraId="13A161F1" w14:textId="7CEAA1E7">
            <w:pPr>
              <w:rPr>
                <w:rFonts w:asciiTheme="minorHAnsi" w:hAnsiTheme="minorHAnsi" w:cstheme="minorHAnsi"/>
                <w:sz w:val="20"/>
                <w:szCs w:val="20"/>
              </w:rPr>
            </w:pPr>
            <w:r w:rsidRPr="00BB7F66">
              <w:rPr>
                <w:rFonts w:asciiTheme="minorHAnsi" w:hAnsiTheme="minorHAnsi" w:cstheme="minorHAnsi"/>
                <w:sz w:val="20"/>
                <w:szCs w:val="20"/>
              </w:rPr>
              <w:t>2 17</w:t>
            </w:r>
          </w:p>
        </w:tc>
        <w:tc>
          <w:tcPr>
            <w:tcW w:w="1804" w:type="pct"/>
          </w:tcPr>
          <w:p w:rsidRPr="00BB7F66" w:rsidR="00246692" w:rsidP="00246692" w:rsidRDefault="00246692" w14:paraId="313714EC" w14:textId="1A18CB9E">
            <w:pPr>
              <w:rPr>
                <w:rFonts w:asciiTheme="minorHAnsi" w:hAnsiTheme="minorHAnsi" w:cstheme="minorHAnsi"/>
                <w:sz w:val="20"/>
                <w:szCs w:val="20"/>
              </w:rPr>
            </w:pPr>
            <w:r w:rsidRPr="00BB7F66">
              <w:rPr>
                <w:rFonts w:asciiTheme="minorHAnsi" w:hAnsiTheme="minorHAnsi" w:cstheme="minorHAnsi"/>
                <w:sz w:val="20"/>
                <w:szCs w:val="20"/>
              </w:rPr>
              <w:t>Quality Support Service</w:t>
            </w:r>
          </w:p>
        </w:tc>
        <w:tc>
          <w:tcPr>
            <w:tcW w:w="984" w:type="pct"/>
          </w:tcPr>
          <w:p w:rsidRPr="00BB7F66" w:rsidR="00246692" w:rsidP="00246692" w:rsidRDefault="00246692" w14:paraId="292A6852" w14:textId="44481D7A">
            <w:pPr>
              <w:rPr>
                <w:rFonts w:asciiTheme="minorHAnsi" w:hAnsiTheme="minorHAnsi" w:cstheme="minorHAnsi"/>
                <w:sz w:val="20"/>
                <w:szCs w:val="20"/>
              </w:rPr>
            </w:pPr>
            <w:r w:rsidRPr="00BB7F66">
              <w:rPr>
                <w:rFonts w:asciiTheme="minorHAnsi" w:hAnsiTheme="minorHAnsi" w:cstheme="minorHAnsi"/>
                <w:sz w:val="20"/>
                <w:szCs w:val="20"/>
              </w:rPr>
              <w:t>June 2024, Senate</w:t>
            </w:r>
          </w:p>
        </w:tc>
        <w:tc>
          <w:tcPr>
            <w:tcW w:w="1640" w:type="pct"/>
          </w:tcPr>
          <w:p w:rsidRPr="00BB7F66" w:rsidR="00246692" w:rsidP="00246692" w:rsidRDefault="006C3E4E" w14:paraId="5AF0C94F" w14:textId="50BBC2F9">
            <w:pPr>
              <w:rPr>
                <w:rFonts w:asciiTheme="minorHAnsi" w:hAnsiTheme="minorHAnsi" w:cstheme="minorHAnsi"/>
                <w:sz w:val="20"/>
                <w:szCs w:val="20"/>
              </w:rPr>
            </w:pPr>
            <w:r>
              <w:rPr>
                <w:rFonts w:asciiTheme="minorHAnsi" w:hAnsiTheme="minorHAnsi" w:cstheme="minorHAnsi"/>
                <w:sz w:val="20"/>
                <w:szCs w:val="20"/>
              </w:rPr>
              <w:t xml:space="preserve">Removes reference to </w:t>
            </w:r>
            <w:r w:rsidRPr="00BB7F66" w:rsidR="00246692">
              <w:rPr>
                <w:rFonts w:asciiTheme="minorHAnsi" w:hAnsiTheme="minorHAnsi" w:cstheme="minorHAnsi"/>
                <w:sz w:val="20"/>
                <w:szCs w:val="20"/>
              </w:rPr>
              <w:t>Grade Distinctions at postgraduate study (previously reg 30)</w:t>
            </w:r>
          </w:p>
        </w:tc>
      </w:tr>
      <w:tr w:rsidRPr="002E6BBA" w:rsidR="00701F2C" w:rsidTr="005E53B3" w14:paraId="2B4E243D" w14:textId="5F65423F">
        <w:tc>
          <w:tcPr>
            <w:tcW w:w="572" w:type="pct"/>
          </w:tcPr>
          <w:p w:rsidRPr="00BB7F66" w:rsidR="00701F2C" w:rsidP="00701F2C" w:rsidRDefault="00701F2C" w14:paraId="75C6C97E" w14:textId="3677D08D">
            <w:pPr>
              <w:rPr>
                <w:rFonts w:cs="Arial"/>
              </w:rPr>
            </w:pPr>
            <w:r w:rsidRPr="00BB7F66">
              <w:rPr>
                <w:rFonts w:ascii="Calibri" w:hAnsi="Calibri" w:cs="Arial"/>
                <w:sz w:val="20"/>
                <w:szCs w:val="20"/>
              </w:rPr>
              <w:t>2 1</w:t>
            </w:r>
            <w:r w:rsidRPr="00BB7F66" w:rsidR="00353032">
              <w:rPr>
                <w:rFonts w:ascii="Calibri" w:hAnsi="Calibri" w:cs="Arial"/>
                <w:sz w:val="20"/>
                <w:szCs w:val="20"/>
              </w:rPr>
              <w:t>6</w:t>
            </w:r>
          </w:p>
        </w:tc>
        <w:tc>
          <w:tcPr>
            <w:tcW w:w="1804" w:type="pct"/>
          </w:tcPr>
          <w:p w:rsidRPr="00BB7F66" w:rsidR="00701F2C" w:rsidP="00701F2C" w:rsidRDefault="00701F2C" w14:paraId="662CE0C1" w14:textId="24601816">
            <w:pPr>
              <w:rPr>
                <w:rFonts w:asciiTheme="minorHAnsi" w:hAnsiTheme="minorHAnsi" w:cstheme="minorHAnsi"/>
              </w:rPr>
            </w:pPr>
            <w:r w:rsidRPr="00BB7F66">
              <w:rPr>
                <w:rFonts w:asciiTheme="minorHAnsi" w:hAnsiTheme="minorHAnsi" w:cstheme="minorHAnsi"/>
                <w:sz w:val="20"/>
                <w:szCs w:val="20"/>
              </w:rPr>
              <w:t>Quality Manager, Quality Support Service</w:t>
            </w:r>
          </w:p>
        </w:tc>
        <w:tc>
          <w:tcPr>
            <w:tcW w:w="984" w:type="pct"/>
          </w:tcPr>
          <w:p w:rsidRPr="00BB7F66" w:rsidR="00701F2C" w:rsidP="00701F2C" w:rsidRDefault="00701F2C" w14:paraId="62B74139" w14:textId="4C7BC68E">
            <w:pPr>
              <w:rPr>
                <w:rFonts w:cs="Arial"/>
              </w:rPr>
            </w:pPr>
            <w:r w:rsidRPr="00BB7F66">
              <w:rPr>
                <w:rFonts w:ascii="Calibri" w:hAnsi="Calibri" w:cs="Arial"/>
                <w:sz w:val="20"/>
                <w:szCs w:val="20"/>
              </w:rPr>
              <w:t xml:space="preserve">Sept 23, </w:t>
            </w:r>
          </w:p>
        </w:tc>
        <w:tc>
          <w:tcPr>
            <w:tcW w:w="1640" w:type="pct"/>
          </w:tcPr>
          <w:p w:rsidRPr="00BB7F66" w:rsidR="00B01082" w:rsidP="00701F2C" w:rsidRDefault="00701F2C" w14:paraId="2AA48C0B" w14:textId="4659A247">
            <w:pPr>
              <w:pStyle w:val="ListParagraph"/>
              <w:numPr>
                <w:ilvl w:val="0"/>
                <w:numId w:val="28"/>
              </w:numPr>
              <w:rPr>
                <w:rFonts w:ascii="Calibri" w:hAnsi="Calibri" w:cs="Arial"/>
                <w:sz w:val="20"/>
                <w:szCs w:val="20"/>
              </w:rPr>
            </w:pPr>
            <w:r w:rsidRPr="00BB7F66">
              <w:rPr>
                <w:rFonts w:ascii="Calibri" w:hAnsi="Calibri" w:cs="Arial"/>
                <w:sz w:val="20"/>
                <w:szCs w:val="20"/>
              </w:rPr>
              <w:t>1</w:t>
            </w:r>
            <w:r w:rsidRPr="00BB7F66" w:rsidR="00353032">
              <w:rPr>
                <w:rFonts w:ascii="Calibri" w:hAnsi="Calibri" w:cs="Arial"/>
                <w:sz w:val="20"/>
                <w:szCs w:val="20"/>
              </w:rPr>
              <w:t>3</w:t>
            </w:r>
            <w:r w:rsidRPr="00BB7F66">
              <w:rPr>
                <w:rFonts w:ascii="Calibri" w:hAnsi="Calibri" w:cs="Arial"/>
                <w:sz w:val="20"/>
                <w:szCs w:val="20"/>
              </w:rPr>
              <w:t>.3 – amendment. Makes clear that a suspension of study may be required for students who need a period of suspension to complete outstanding assessments.</w:t>
            </w:r>
          </w:p>
          <w:p w:rsidRPr="00BB7F66" w:rsidR="00701F2C" w:rsidP="00701F2C" w:rsidRDefault="00701F2C" w14:paraId="4AAB66AB" w14:textId="02F5CC20">
            <w:pPr>
              <w:pStyle w:val="ListParagraph"/>
              <w:numPr>
                <w:ilvl w:val="0"/>
                <w:numId w:val="28"/>
              </w:numPr>
              <w:rPr>
                <w:rFonts w:ascii="Calibri" w:hAnsi="Calibri" w:cs="Arial"/>
                <w:sz w:val="20"/>
                <w:szCs w:val="20"/>
              </w:rPr>
            </w:pPr>
            <w:r w:rsidRPr="00BB7F66">
              <w:rPr>
                <w:rFonts w:ascii="Calibri" w:hAnsi="Calibri" w:cs="Arial"/>
                <w:sz w:val="20"/>
                <w:szCs w:val="20"/>
              </w:rPr>
              <w:t>Revisions to committee structure and roles of staff throughout.</w:t>
            </w:r>
          </w:p>
        </w:tc>
      </w:tr>
      <w:tr w:rsidRPr="002E6BBA" w:rsidR="00701F2C" w:rsidTr="005E53B3" w14:paraId="720869D6" w14:textId="2C8E8AA9">
        <w:tc>
          <w:tcPr>
            <w:tcW w:w="572" w:type="pct"/>
          </w:tcPr>
          <w:p w:rsidRPr="002E6BBA" w:rsidR="00701F2C" w:rsidP="00701F2C" w:rsidRDefault="00701F2C" w14:paraId="6FD10DA7" w14:textId="6788964C">
            <w:pPr>
              <w:rPr>
                <w:rFonts w:cs="Arial"/>
              </w:rPr>
            </w:pPr>
            <w:r w:rsidRPr="00645759">
              <w:rPr>
                <w:rFonts w:ascii="Calibri" w:hAnsi="Calibri" w:cs="Arial"/>
                <w:sz w:val="20"/>
                <w:szCs w:val="20"/>
              </w:rPr>
              <w:t>2 1</w:t>
            </w:r>
            <w:r w:rsidR="00353032">
              <w:rPr>
                <w:rFonts w:ascii="Calibri" w:hAnsi="Calibri" w:cs="Arial"/>
                <w:sz w:val="20"/>
                <w:szCs w:val="20"/>
              </w:rPr>
              <w:t>5</w:t>
            </w:r>
          </w:p>
        </w:tc>
        <w:tc>
          <w:tcPr>
            <w:tcW w:w="1804" w:type="pct"/>
          </w:tcPr>
          <w:p w:rsidRPr="002E6BBA" w:rsidR="00701F2C" w:rsidP="00701F2C" w:rsidRDefault="00701F2C" w14:paraId="4205A32C" w14:textId="1588C45C">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6D51B137" w14:textId="4B10F706">
            <w:pPr>
              <w:rPr>
                <w:rFonts w:cs="Arial"/>
              </w:rPr>
            </w:pPr>
            <w:r w:rsidRPr="00645759">
              <w:rPr>
                <w:rFonts w:ascii="Calibri" w:hAnsi="Calibri" w:cs="Arial"/>
                <w:sz w:val="20"/>
                <w:szCs w:val="20"/>
              </w:rPr>
              <w:t>17 March 2022, Senate</w:t>
            </w:r>
          </w:p>
        </w:tc>
        <w:tc>
          <w:tcPr>
            <w:tcW w:w="1640" w:type="pct"/>
          </w:tcPr>
          <w:p w:rsidRPr="00645759" w:rsidR="00701F2C" w:rsidP="00701F2C" w:rsidRDefault="00701F2C" w14:paraId="64E185A8" w14:textId="77777777">
            <w:pPr>
              <w:pStyle w:val="ListParagraph"/>
              <w:numPr>
                <w:ilvl w:val="0"/>
                <w:numId w:val="29"/>
              </w:numPr>
              <w:rPr>
                <w:rFonts w:ascii="Calibri" w:hAnsi="Calibri" w:cs="Arial"/>
                <w:sz w:val="20"/>
                <w:szCs w:val="20"/>
              </w:rPr>
            </w:pPr>
            <w:r w:rsidRPr="00645759">
              <w:rPr>
                <w:rFonts w:ascii="Calibri" w:hAnsi="Calibri" w:cs="Arial"/>
                <w:sz w:val="20"/>
                <w:szCs w:val="20"/>
              </w:rPr>
              <w:t>Non regulatory detail removed and included within UoH Academic Framework.</w:t>
            </w:r>
          </w:p>
          <w:p w:rsidRPr="00645759" w:rsidR="00701F2C" w:rsidP="00701F2C" w:rsidRDefault="00701F2C" w14:paraId="3AD16E20" w14:textId="77777777">
            <w:pPr>
              <w:pStyle w:val="ListParagraph"/>
              <w:numPr>
                <w:ilvl w:val="0"/>
                <w:numId w:val="29"/>
              </w:numPr>
              <w:rPr>
                <w:rFonts w:ascii="Calibri" w:hAnsi="Calibri" w:cs="Arial"/>
                <w:sz w:val="20"/>
                <w:szCs w:val="20"/>
              </w:rPr>
            </w:pPr>
            <w:r w:rsidRPr="00645759">
              <w:rPr>
                <w:rFonts w:ascii="Calibri" w:hAnsi="Calibri" w:cs="Arial"/>
                <w:sz w:val="20"/>
                <w:szCs w:val="20"/>
              </w:rPr>
              <w:t>Accreditation of Prior Learning replaced with Recognition of Prior Learning to reflect sector.</w:t>
            </w:r>
          </w:p>
          <w:p w:rsidRPr="00645759" w:rsidR="00701F2C" w:rsidP="00701F2C" w:rsidRDefault="00701F2C" w14:paraId="0F7A9147" w14:textId="77777777">
            <w:pPr>
              <w:pStyle w:val="ListParagraph"/>
              <w:numPr>
                <w:ilvl w:val="0"/>
                <w:numId w:val="29"/>
              </w:numPr>
              <w:rPr>
                <w:rFonts w:ascii="Calibri" w:hAnsi="Calibri" w:cs="Arial"/>
                <w:sz w:val="20"/>
                <w:szCs w:val="20"/>
              </w:rPr>
            </w:pPr>
            <w:r w:rsidRPr="00645759">
              <w:rPr>
                <w:rFonts w:ascii="Calibri" w:hAnsi="Calibri" w:cs="Arial"/>
                <w:sz w:val="20"/>
                <w:szCs w:val="20"/>
              </w:rPr>
              <w:t>Replaces Mitigating Circumstances with Requests for Extensions and Additional Consideration.</w:t>
            </w:r>
          </w:p>
          <w:p w:rsidRPr="00B01082" w:rsidR="00701F2C" w:rsidP="00701F2C" w:rsidRDefault="00701F2C" w14:paraId="736A3561" w14:textId="463A03AD">
            <w:pPr>
              <w:pStyle w:val="ListParagraph"/>
              <w:numPr>
                <w:ilvl w:val="0"/>
                <w:numId w:val="29"/>
              </w:numPr>
              <w:rPr>
                <w:rFonts w:ascii="Calibri" w:hAnsi="Calibri" w:cs="Arial"/>
                <w:sz w:val="20"/>
                <w:szCs w:val="20"/>
              </w:rPr>
            </w:pPr>
            <w:r w:rsidRPr="00645759">
              <w:rPr>
                <w:rFonts w:ascii="Calibri" w:hAnsi="Calibri" w:cs="Arial"/>
                <w:sz w:val="20"/>
                <w:szCs w:val="20"/>
              </w:rPr>
              <w:t>Reference to the timeframes for resubmission is removed.</w:t>
            </w:r>
          </w:p>
        </w:tc>
      </w:tr>
      <w:tr w:rsidRPr="002E6BBA" w:rsidR="00701F2C" w:rsidTr="005E53B3" w14:paraId="745A7F27" w14:textId="77777777">
        <w:tc>
          <w:tcPr>
            <w:tcW w:w="572" w:type="pct"/>
          </w:tcPr>
          <w:p w:rsidRPr="002E6BBA" w:rsidR="00701F2C" w:rsidP="00701F2C" w:rsidRDefault="00701F2C" w14:paraId="1623FC13" w14:textId="19576109">
            <w:pPr>
              <w:rPr>
                <w:rFonts w:cs="Arial"/>
              </w:rPr>
            </w:pPr>
            <w:r w:rsidRPr="00645759">
              <w:rPr>
                <w:rFonts w:ascii="Calibri" w:hAnsi="Calibri" w:cs="Arial"/>
                <w:sz w:val="20"/>
                <w:szCs w:val="20"/>
              </w:rPr>
              <w:t>2 1</w:t>
            </w:r>
            <w:r w:rsidR="00353032">
              <w:rPr>
                <w:rFonts w:ascii="Calibri" w:hAnsi="Calibri" w:cs="Arial"/>
                <w:sz w:val="20"/>
                <w:szCs w:val="20"/>
              </w:rPr>
              <w:t>4</w:t>
            </w:r>
          </w:p>
        </w:tc>
        <w:tc>
          <w:tcPr>
            <w:tcW w:w="1804" w:type="pct"/>
          </w:tcPr>
          <w:p w:rsidRPr="002E6BBA" w:rsidR="00701F2C" w:rsidP="00701F2C" w:rsidRDefault="00701F2C" w14:paraId="7D8A24D0" w14:textId="3AABF092">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37B33D71" w14:textId="58B7A4EB">
            <w:pPr>
              <w:rPr>
                <w:rFonts w:cs="Arial"/>
              </w:rPr>
            </w:pPr>
            <w:r w:rsidRPr="00645759">
              <w:rPr>
                <w:rFonts w:ascii="Calibri" w:hAnsi="Calibri" w:cs="Arial"/>
                <w:sz w:val="20"/>
                <w:szCs w:val="20"/>
              </w:rPr>
              <w:t>NA</w:t>
            </w:r>
          </w:p>
        </w:tc>
        <w:tc>
          <w:tcPr>
            <w:tcW w:w="1640" w:type="pct"/>
          </w:tcPr>
          <w:p w:rsidRPr="002E6BBA" w:rsidR="00701F2C" w:rsidP="00701F2C" w:rsidRDefault="00701F2C" w14:paraId="7248F7E2" w14:textId="183EAECE">
            <w:pPr>
              <w:rPr>
                <w:rFonts w:cs="Arial"/>
              </w:rPr>
            </w:pPr>
            <w:r w:rsidRPr="00645759">
              <w:rPr>
                <w:rFonts w:ascii="Calibri" w:hAnsi="Calibri" w:cs="Arial"/>
                <w:sz w:val="20"/>
                <w:szCs w:val="20"/>
              </w:rPr>
              <w:t>Migrated to new template</w:t>
            </w:r>
          </w:p>
        </w:tc>
      </w:tr>
      <w:tr w:rsidRPr="002E6BBA" w:rsidR="00701F2C" w:rsidTr="00715E8B" w14:paraId="19F1C042" w14:textId="77777777">
        <w:tc>
          <w:tcPr>
            <w:tcW w:w="572" w:type="pct"/>
          </w:tcPr>
          <w:p w:rsidRPr="002E6BBA" w:rsidR="00701F2C" w:rsidP="00701F2C" w:rsidRDefault="00701F2C" w14:paraId="22E6140F" w14:textId="4D85E793">
            <w:pPr>
              <w:rPr>
                <w:rFonts w:cs="Arial"/>
              </w:rPr>
            </w:pPr>
            <w:r w:rsidRPr="00645759">
              <w:rPr>
                <w:rFonts w:ascii="Calibri" w:hAnsi="Calibri" w:cs="Arial"/>
                <w:sz w:val="20"/>
                <w:szCs w:val="20"/>
              </w:rPr>
              <w:t>2 1</w:t>
            </w:r>
            <w:r w:rsidR="00353032">
              <w:rPr>
                <w:rFonts w:ascii="Calibri" w:hAnsi="Calibri" w:cs="Arial"/>
                <w:sz w:val="20"/>
                <w:szCs w:val="20"/>
              </w:rPr>
              <w:t>4</w:t>
            </w:r>
          </w:p>
        </w:tc>
        <w:tc>
          <w:tcPr>
            <w:tcW w:w="1804" w:type="pct"/>
          </w:tcPr>
          <w:p w:rsidRPr="002E6BBA" w:rsidR="00701F2C" w:rsidP="00701F2C" w:rsidRDefault="00701F2C" w14:paraId="6F9C4097" w14:textId="7138DA04">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5866C316" w14:textId="1A22BF9D">
            <w:pPr>
              <w:rPr>
                <w:rFonts w:cs="Arial"/>
              </w:rPr>
            </w:pPr>
            <w:r w:rsidRPr="00645759">
              <w:rPr>
                <w:rFonts w:ascii="Calibri" w:hAnsi="Calibri" w:cs="Arial"/>
                <w:sz w:val="20"/>
                <w:szCs w:val="20"/>
              </w:rPr>
              <w:t>Aug 2021, Housekeeping</w:t>
            </w:r>
          </w:p>
        </w:tc>
        <w:tc>
          <w:tcPr>
            <w:tcW w:w="1640" w:type="pct"/>
          </w:tcPr>
          <w:p w:rsidR="00B01082" w:rsidP="00701F2C" w:rsidRDefault="00701F2C" w14:paraId="694332F9" w14:textId="3695FB0B">
            <w:pPr>
              <w:numPr>
                <w:ilvl w:val="0"/>
                <w:numId w:val="30"/>
              </w:numPr>
              <w:contextualSpacing/>
              <w:rPr>
                <w:rFonts w:cs="Arial"/>
                <w:noProof/>
                <w:sz w:val="20"/>
                <w:szCs w:val="20"/>
              </w:rPr>
            </w:pPr>
            <w:r w:rsidRPr="00645759">
              <w:rPr>
                <w:rFonts w:cs="Arial"/>
                <w:noProof/>
                <w:sz w:val="20"/>
                <w:szCs w:val="20"/>
              </w:rPr>
              <w:t>Replaces Student Wellbeing, Learning and Welfare Support with Student Support and Experience (Reg 1</w:t>
            </w:r>
            <w:r w:rsidR="00353032">
              <w:rPr>
                <w:rFonts w:cs="Arial"/>
                <w:noProof/>
                <w:sz w:val="20"/>
                <w:szCs w:val="20"/>
              </w:rPr>
              <w:t>9</w:t>
            </w:r>
            <w:r w:rsidRPr="00645759">
              <w:rPr>
                <w:rFonts w:cs="Arial"/>
                <w:noProof/>
                <w:sz w:val="20"/>
                <w:szCs w:val="20"/>
              </w:rPr>
              <w:t>).</w:t>
            </w:r>
          </w:p>
          <w:p w:rsidRPr="00B01082" w:rsidR="00701F2C" w:rsidP="00701F2C" w:rsidRDefault="00701F2C" w14:paraId="795701EC" w14:textId="6DA1C459">
            <w:pPr>
              <w:numPr>
                <w:ilvl w:val="0"/>
                <w:numId w:val="30"/>
              </w:numPr>
              <w:contextualSpacing/>
              <w:rPr>
                <w:rFonts w:cs="Arial"/>
                <w:noProof/>
                <w:sz w:val="20"/>
                <w:szCs w:val="20"/>
              </w:rPr>
            </w:pPr>
            <w:r w:rsidRPr="00B01082">
              <w:rPr>
                <w:rFonts w:cs="Arial"/>
                <w:noProof/>
                <w:sz w:val="20"/>
                <w:szCs w:val="20"/>
              </w:rPr>
              <w:t>Reference to University Regulations Governing the Investigation and Determination of Allegations of Professional Unsuitability and Professional Misconduct is replaced with</w:t>
            </w:r>
            <w:r w:rsidRPr="00B01082">
              <w:rPr>
                <w:noProof/>
                <w:sz w:val="20"/>
                <w:szCs w:val="20"/>
              </w:rPr>
              <w:t xml:space="preserve"> </w:t>
            </w:r>
            <w:r w:rsidRPr="00B01082">
              <w:rPr>
                <w:rFonts w:cs="Arial"/>
                <w:noProof/>
                <w:sz w:val="20"/>
                <w:szCs w:val="20"/>
              </w:rPr>
              <w:t>University Regulations governing the Investigation and Determination of Concerns about Fitness to Practise (Reg 2</w:t>
            </w:r>
            <w:r w:rsidR="00353032">
              <w:rPr>
                <w:rFonts w:cs="Arial"/>
                <w:noProof/>
                <w:sz w:val="20"/>
                <w:szCs w:val="20"/>
              </w:rPr>
              <w:t>9</w:t>
            </w:r>
            <w:r w:rsidRPr="00B01082">
              <w:rPr>
                <w:rFonts w:cs="Arial"/>
                <w:noProof/>
                <w:sz w:val="20"/>
                <w:szCs w:val="20"/>
              </w:rPr>
              <w:t xml:space="preserve">). </w:t>
            </w:r>
          </w:p>
        </w:tc>
      </w:tr>
      <w:tr w:rsidRPr="002E6BBA" w:rsidR="00701F2C" w:rsidTr="00715E8B" w14:paraId="082C824B" w14:textId="77777777">
        <w:tc>
          <w:tcPr>
            <w:tcW w:w="572" w:type="pct"/>
          </w:tcPr>
          <w:p w:rsidRPr="002E6BBA" w:rsidR="00701F2C" w:rsidP="00701F2C" w:rsidRDefault="00701F2C" w14:paraId="6A6971D3" w14:textId="182DD28A">
            <w:pPr>
              <w:rPr>
                <w:rFonts w:cs="Arial"/>
              </w:rPr>
            </w:pPr>
            <w:r w:rsidRPr="00645759">
              <w:rPr>
                <w:rFonts w:ascii="Calibri" w:hAnsi="Calibri" w:cs="Arial"/>
                <w:sz w:val="20"/>
                <w:szCs w:val="20"/>
              </w:rPr>
              <w:t>2 1</w:t>
            </w:r>
            <w:r w:rsidR="00353032">
              <w:rPr>
                <w:rFonts w:ascii="Calibri" w:hAnsi="Calibri" w:cs="Arial"/>
                <w:sz w:val="20"/>
                <w:szCs w:val="20"/>
              </w:rPr>
              <w:t>3</w:t>
            </w:r>
          </w:p>
        </w:tc>
        <w:tc>
          <w:tcPr>
            <w:tcW w:w="1804" w:type="pct"/>
          </w:tcPr>
          <w:p w:rsidRPr="002E6BBA" w:rsidR="00701F2C" w:rsidP="00701F2C" w:rsidRDefault="00701F2C" w14:paraId="6A40A14A" w14:textId="52076E38">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4C787477" w14:textId="310F2182">
            <w:pPr>
              <w:rPr>
                <w:rFonts w:cs="Arial"/>
              </w:rPr>
            </w:pPr>
            <w:r>
              <w:rPr>
                <w:rFonts w:ascii="Calibri" w:hAnsi="Calibri" w:cs="Arial"/>
                <w:sz w:val="20"/>
                <w:szCs w:val="20"/>
              </w:rPr>
              <w:t>July 2020</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E63153" w:rsidR="00701F2C" w:rsidP="00701F2C" w:rsidRDefault="00701F2C" w14:paraId="2C854CF9" w14:textId="7D3C5E67">
            <w:pPr>
              <w:numPr>
                <w:ilvl w:val="0"/>
                <w:numId w:val="31"/>
              </w:numPr>
              <w:rPr>
                <w:rFonts w:cs="Arial"/>
                <w:sz w:val="20"/>
              </w:rPr>
            </w:pPr>
            <w:r w:rsidRPr="00E63153">
              <w:rPr>
                <w:rFonts w:cs="Arial"/>
                <w:noProof/>
                <w:sz w:val="20"/>
              </w:rPr>
              <w:t>Makes clear that applications for a repeat year</w:t>
            </w:r>
            <w:r>
              <w:rPr>
                <w:rFonts w:cs="Arial"/>
                <w:noProof/>
                <w:sz w:val="20"/>
              </w:rPr>
              <w:t xml:space="preserve"> must be approved by SCC, Reg 1</w:t>
            </w:r>
            <w:r w:rsidR="00353032">
              <w:rPr>
                <w:rFonts w:cs="Arial"/>
                <w:noProof/>
                <w:sz w:val="20"/>
              </w:rPr>
              <w:t>9</w:t>
            </w:r>
            <w:r w:rsidRPr="00E63153">
              <w:rPr>
                <w:rFonts w:cs="Arial"/>
                <w:noProof/>
                <w:sz w:val="20"/>
              </w:rPr>
              <w:t>.</w:t>
            </w:r>
          </w:p>
          <w:p w:rsidR="00B01082" w:rsidP="00701F2C" w:rsidRDefault="00701F2C" w14:paraId="23B8368E" w14:textId="05FCB7AC">
            <w:pPr>
              <w:numPr>
                <w:ilvl w:val="0"/>
                <w:numId w:val="31"/>
              </w:numPr>
              <w:rPr>
                <w:rFonts w:cs="Arial"/>
                <w:noProof/>
                <w:sz w:val="20"/>
              </w:rPr>
            </w:pPr>
            <w:r w:rsidRPr="00E63153">
              <w:rPr>
                <w:rFonts w:cs="Arial"/>
                <w:noProof/>
                <w:sz w:val="20"/>
              </w:rPr>
              <w:t xml:space="preserve">Introduces </w:t>
            </w:r>
            <w:r w:rsidR="00353032">
              <w:rPr>
                <w:rFonts w:cs="Arial"/>
                <w:noProof/>
                <w:sz w:val="20"/>
              </w:rPr>
              <w:t>r</w:t>
            </w:r>
            <w:r w:rsidRPr="00E63153">
              <w:rPr>
                <w:rFonts w:cs="Arial"/>
                <w:noProof/>
                <w:sz w:val="20"/>
              </w:rPr>
              <w:t>esubmission as the preferred method for reassessme</w:t>
            </w:r>
            <w:r>
              <w:rPr>
                <w:rFonts w:cs="Arial"/>
                <w:noProof/>
                <w:sz w:val="20"/>
              </w:rPr>
              <w:t>nt, Reg 2</w:t>
            </w:r>
            <w:r w:rsidR="00353032">
              <w:rPr>
                <w:rFonts w:cs="Arial"/>
                <w:noProof/>
                <w:sz w:val="20"/>
              </w:rPr>
              <w:t>7</w:t>
            </w:r>
            <w:r w:rsidRPr="00E63153">
              <w:rPr>
                <w:rFonts w:cs="Arial"/>
                <w:noProof/>
                <w:sz w:val="20"/>
              </w:rPr>
              <w:t>.</w:t>
            </w:r>
          </w:p>
          <w:p w:rsidRPr="00B01082" w:rsidR="00701F2C" w:rsidP="00701F2C" w:rsidRDefault="00701F2C" w14:paraId="4418D83D" w14:textId="16A3C48E">
            <w:pPr>
              <w:numPr>
                <w:ilvl w:val="0"/>
                <w:numId w:val="31"/>
              </w:numPr>
              <w:rPr>
                <w:rFonts w:cs="Arial"/>
                <w:noProof/>
                <w:sz w:val="20"/>
              </w:rPr>
            </w:pPr>
            <w:r w:rsidRPr="00B01082">
              <w:rPr>
                <w:rFonts w:cs="Arial"/>
                <w:noProof/>
                <w:sz w:val="20"/>
              </w:rPr>
              <w:lastRenderedPageBreak/>
              <w:t>Replaces Quality Governance with Quality Support Service.</w:t>
            </w:r>
          </w:p>
        </w:tc>
      </w:tr>
      <w:tr w:rsidRPr="002E6BBA" w:rsidR="00701F2C" w:rsidTr="00715E8B" w14:paraId="2AB00FAA" w14:textId="77777777">
        <w:tc>
          <w:tcPr>
            <w:tcW w:w="572" w:type="pct"/>
          </w:tcPr>
          <w:p w:rsidRPr="002E6BBA" w:rsidR="00701F2C" w:rsidP="00701F2C" w:rsidRDefault="00701F2C" w14:paraId="2E8F1A77" w14:textId="7DFE8F28">
            <w:pPr>
              <w:rPr>
                <w:rFonts w:cs="Arial"/>
              </w:rPr>
            </w:pPr>
            <w:r w:rsidRPr="00645759">
              <w:rPr>
                <w:rFonts w:ascii="Calibri" w:hAnsi="Calibri" w:cs="Arial"/>
                <w:sz w:val="20"/>
                <w:szCs w:val="20"/>
              </w:rPr>
              <w:lastRenderedPageBreak/>
              <w:t>2 1</w:t>
            </w:r>
            <w:r w:rsidR="00353032">
              <w:rPr>
                <w:rFonts w:ascii="Calibri" w:hAnsi="Calibri" w:cs="Arial"/>
                <w:sz w:val="20"/>
                <w:szCs w:val="20"/>
              </w:rPr>
              <w:t>2</w:t>
            </w:r>
          </w:p>
        </w:tc>
        <w:tc>
          <w:tcPr>
            <w:tcW w:w="1804" w:type="pct"/>
          </w:tcPr>
          <w:p w:rsidRPr="002E6BBA" w:rsidR="00701F2C" w:rsidP="00701F2C" w:rsidRDefault="00701F2C" w14:paraId="42F708F1" w14:textId="6D11BD8D">
            <w:pPr>
              <w:rPr>
                <w:rFonts w:cs="Arial"/>
              </w:rPr>
            </w:pPr>
            <w:r w:rsidRPr="00645759">
              <w:rPr>
                <w:rFonts w:cstheme="minorHAnsi"/>
                <w:sz w:val="20"/>
                <w:szCs w:val="20"/>
              </w:rPr>
              <w:t xml:space="preserve">Quality Manager, Quality </w:t>
            </w:r>
            <w:r>
              <w:rPr>
                <w:rFonts w:cstheme="minorHAnsi"/>
                <w:sz w:val="20"/>
                <w:szCs w:val="20"/>
              </w:rPr>
              <w:t>Governance</w:t>
            </w:r>
          </w:p>
        </w:tc>
        <w:tc>
          <w:tcPr>
            <w:tcW w:w="984" w:type="pct"/>
          </w:tcPr>
          <w:p w:rsidRPr="002E6BBA" w:rsidR="00701F2C" w:rsidP="00701F2C" w:rsidRDefault="00701F2C" w14:paraId="1A1EEADB" w14:textId="2CDD457E">
            <w:pPr>
              <w:rPr>
                <w:rFonts w:cs="Arial"/>
              </w:rPr>
            </w:pPr>
            <w:r>
              <w:rPr>
                <w:rFonts w:ascii="Calibri" w:hAnsi="Calibri" w:cs="Arial"/>
                <w:sz w:val="20"/>
                <w:szCs w:val="20"/>
              </w:rPr>
              <w:t>Sept 2019</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701F2C" w:rsidP="00353032" w:rsidRDefault="00701F2C" w14:paraId="3FBFBE14" w14:textId="77777777">
            <w:pPr>
              <w:pStyle w:val="ListParagraph"/>
              <w:numPr>
                <w:ilvl w:val="0"/>
                <w:numId w:val="32"/>
              </w:numPr>
              <w:rPr>
                <w:rFonts w:cs="Arial"/>
                <w:bCs/>
                <w:noProof/>
                <w:sz w:val="20"/>
              </w:rPr>
            </w:pPr>
            <w:r w:rsidRPr="00645759">
              <w:rPr>
                <w:rFonts w:cs="Arial"/>
                <w:bCs/>
                <w:noProof/>
                <w:sz w:val="20"/>
              </w:rPr>
              <w:t>Replaces School with Academic Unit.</w:t>
            </w:r>
          </w:p>
          <w:p w:rsidR="00701F2C" w:rsidP="00701F2C" w:rsidRDefault="00701F2C" w14:paraId="39EBCDCC" w14:textId="77777777">
            <w:pPr>
              <w:pStyle w:val="ListParagraph"/>
              <w:numPr>
                <w:ilvl w:val="0"/>
                <w:numId w:val="32"/>
              </w:numPr>
              <w:rPr>
                <w:rFonts w:cs="Arial"/>
                <w:bCs/>
                <w:noProof/>
                <w:sz w:val="20"/>
              </w:rPr>
            </w:pPr>
            <w:r w:rsidRPr="00645759">
              <w:rPr>
                <w:rFonts w:cs="Arial"/>
                <w:bCs/>
                <w:noProof/>
                <w:sz w:val="20"/>
              </w:rPr>
              <w:t>Includes reference to Elective modules, Reg 1c.</w:t>
            </w:r>
          </w:p>
          <w:p w:rsidR="00701F2C" w:rsidP="00701F2C" w:rsidRDefault="00701F2C" w14:paraId="2642DE5B" w14:textId="4EDB9A90">
            <w:pPr>
              <w:pStyle w:val="ListParagraph"/>
              <w:numPr>
                <w:ilvl w:val="0"/>
                <w:numId w:val="32"/>
              </w:numPr>
              <w:rPr>
                <w:rFonts w:cs="Arial"/>
                <w:bCs/>
                <w:noProof/>
                <w:sz w:val="20"/>
              </w:rPr>
            </w:pPr>
            <w:r w:rsidRPr="00645759">
              <w:rPr>
                <w:rFonts w:cs="Arial"/>
                <w:bCs/>
                <w:noProof/>
                <w:sz w:val="20"/>
              </w:rPr>
              <w:t xml:space="preserve">Makes explicit that the use of pass/fail for individual assessment components is only applicable for those modules with PSRB requirements, Reg </w:t>
            </w:r>
            <w:r w:rsidR="00353032">
              <w:rPr>
                <w:rFonts w:cs="Arial"/>
                <w:bCs/>
                <w:noProof/>
                <w:sz w:val="20"/>
              </w:rPr>
              <w:t>8</w:t>
            </w:r>
            <w:r w:rsidRPr="00645759">
              <w:rPr>
                <w:rFonts w:cs="Arial"/>
                <w:bCs/>
                <w:noProof/>
                <w:sz w:val="20"/>
              </w:rPr>
              <w:t>.</w:t>
            </w:r>
          </w:p>
          <w:p w:rsidR="00701F2C" w:rsidP="00701F2C" w:rsidRDefault="00701F2C" w14:paraId="6E591B54" w14:textId="77777777">
            <w:pPr>
              <w:pStyle w:val="ListParagraph"/>
              <w:numPr>
                <w:ilvl w:val="0"/>
                <w:numId w:val="32"/>
              </w:numPr>
              <w:jc w:val="both"/>
              <w:rPr>
                <w:rFonts w:cs="Arial"/>
                <w:bCs/>
                <w:noProof/>
                <w:sz w:val="20"/>
              </w:rPr>
            </w:pPr>
            <w:r w:rsidRPr="00645759">
              <w:rPr>
                <w:rFonts w:cs="Arial"/>
                <w:bCs/>
                <w:noProof/>
                <w:sz w:val="20"/>
              </w:rPr>
              <w:t>Removes reference to stage with level.</w:t>
            </w:r>
          </w:p>
          <w:p w:rsidR="00701F2C" w:rsidP="00701F2C" w:rsidRDefault="00701F2C" w14:paraId="6B7A5049" w14:textId="77777777">
            <w:pPr>
              <w:pStyle w:val="ListParagraph"/>
              <w:numPr>
                <w:ilvl w:val="0"/>
                <w:numId w:val="32"/>
              </w:numPr>
              <w:rPr>
                <w:rFonts w:cs="Arial"/>
                <w:bCs/>
                <w:noProof/>
                <w:sz w:val="20"/>
              </w:rPr>
            </w:pPr>
            <w:r w:rsidRPr="00645759">
              <w:rPr>
                <w:rFonts w:cs="Arial"/>
                <w:bCs/>
                <w:sz w:val="20"/>
              </w:rPr>
              <w:t>Replaces University Learning and Teaching Committee with Education Committee.</w:t>
            </w:r>
          </w:p>
          <w:p w:rsidR="00B01082" w:rsidP="00701F2C" w:rsidRDefault="00701F2C" w14:paraId="5B11DA57" w14:textId="77777777">
            <w:pPr>
              <w:pStyle w:val="ListParagraph"/>
              <w:numPr>
                <w:ilvl w:val="0"/>
                <w:numId w:val="32"/>
              </w:numPr>
              <w:rPr>
                <w:rFonts w:cs="Arial"/>
                <w:bCs/>
                <w:noProof/>
                <w:sz w:val="20"/>
              </w:rPr>
            </w:pPr>
            <w:r w:rsidRPr="00645759">
              <w:rPr>
                <w:rFonts w:cs="Arial"/>
                <w:bCs/>
                <w:sz w:val="20"/>
              </w:rPr>
              <w:t>Replaces Programme Management Committee with Education Planning Committee</w:t>
            </w:r>
            <w:r>
              <w:rPr>
                <w:rFonts w:cs="Arial"/>
                <w:bCs/>
                <w:sz w:val="20"/>
              </w:rPr>
              <w:t>.</w:t>
            </w:r>
          </w:p>
          <w:p w:rsidRPr="00B01082" w:rsidR="00701F2C" w:rsidP="00701F2C" w:rsidRDefault="00701F2C" w14:paraId="2F249D37" w14:textId="362C42F7">
            <w:pPr>
              <w:pStyle w:val="ListParagraph"/>
              <w:numPr>
                <w:ilvl w:val="0"/>
                <w:numId w:val="32"/>
              </w:numPr>
              <w:rPr>
                <w:rFonts w:cs="Arial"/>
                <w:bCs/>
                <w:noProof/>
                <w:sz w:val="20"/>
              </w:rPr>
            </w:pPr>
            <w:r w:rsidRPr="00B01082">
              <w:rPr>
                <w:rFonts w:cs="Arial"/>
                <w:bCs/>
                <w:sz w:val="20"/>
              </w:rPr>
              <w:t>Replaces Student Progress Committee with Student Case Committee</w:t>
            </w:r>
          </w:p>
        </w:tc>
      </w:tr>
      <w:tr w:rsidRPr="002E6BBA" w:rsidR="00701F2C" w:rsidTr="00715E8B" w14:paraId="17C6B5D9" w14:textId="77777777">
        <w:tc>
          <w:tcPr>
            <w:tcW w:w="572" w:type="pct"/>
          </w:tcPr>
          <w:p w:rsidRPr="002E6BBA" w:rsidR="00701F2C" w:rsidP="00701F2C" w:rsidRDefault="00701F2C" w14:paraId="3F55A794" w14:textId="045FA5D6">
            <w:pPr>
              <w:rPr>
                <w:rFonts w:cs="Arial"/>
              </w:rPr>
            </w:pPr>
            <w:r w:rsidRPr="00645759">
              <w:rPr>
                <w:rFonts w:ascii="Calibri" w:hAnsi="Calibri" w:cs="Arial"/>
                <w:sz w:val="20"/>
                <w:szCs w:val="20"/>
              </w:rPr>
              <w:t>2 1</w:t>
            </w:r>
            <w:r w:rsidR="00353032">
              <w:rPr>
                <w:rFonts w:ascii="Calibri" w:hAnsi="Calibri" w:cs="Arial"/>
                <w:sz w:val="20"/>
                <w:szCs w:val="20"/>
              </w:rPr>
              <w:t>1</w:t>
            </w:r>
          </w:p>
        </w:tc>
        <w:tc>
          <w:tcPr>
            <w:tcW w:w="1804" w:type="pct"/>
          </w:tcPr>
          <w:p w:rsidRPr="002E6BBA" w:rsidR="00701F2C" w:rsidP="00701F2C" w:rsidRDefault="00701F2C" w14:paraId="540AA2CB" w14:textId="2DB028F3">
            <w:pPr>
              <w:rPr>
                <w:rFonts w:cs="Arial"/>
              </w:rPr>
            </w:pPr>
            <w:r w:rsidRPr="00645759">
              <w:rPr>
                <w:rFonts w:cstheme="minorHAnsi"/>
                <w:sz w:val="20"/>
                <w:szCs w:val="20"/>
              </w:rPr>
              <w:t xml:space="preserve">Quality Manager, </w:t>
            </w:r>
            <w:r w:rsidRPr="0054173B">
              <w:rPr>
                <w:rFonts w:cstheme="minorHAnsi"/>
                <w:sz w:val="20"/>
                <w:szCs w:val="20"/>
              </w:rPr>
              <w:t>Learning, Teaching and Enhancement (LTE)</w:t>
            </w:r>
          </w:p>
        </w:tc>
        <w:tc>
          <w:tcPr>
            <w:tcW w:w="984" w:type="pct"/>
          </w:tcPr>
          <w:p w:rsidRPr="002E6BBA" w:rsidR="00701F2C" w:rsidP="00701F2C" w:rsidRDefault="00701F2C" w14:paraId="37143145" w14:textId="0B95E8A8">
            <w:pPr>
              <w:rPr>
                <w:rFonts w:cs="Arial"/>
              </w:rPr>
            </w:pPr>
            <w:r>
              <w:rPr>
                <w:rFonts w:ascii="Calibri" w:hAnsi="Calibri" w:cs="Arial"/>
                <w:sz w:val="20"/>
                <w:szCs w:val="20"/>
              </w:rPr>
              <w:t>July 2018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8316A6" w:rsidR="00701F2C" w:rsidP="00701F2C" w:rsidRDefault="00701F2C" w14:paraId="110B3EB0" w14:textId="44894AA6">
            <w:pPr>
              <w:pStyle w:val="ListParagraph"/>
              <w:numPr>
                <w:ilvl w:val="0"/>
                <w:numId w:val="33"/>
              </w:numPr>
              <w:rPr>
                <w:rFonts w:ascii="Calibri" w:hAnsi="Calibri" w:cs="Arial"/>
                <w:sz w:val="20"/>
                <w:szCs w:val="20"/>
              </w:rPr>
            </w:pPr>
            <w:r w:rsidRPr="008316A6">
              <w:rPr>
                <w:rFonts w:ascii="Calibri" w:hAnsi="Calibri" w:cs="Arial"/>
                <w:sz w:val="20"/>
                <w:szCs w:val="20"/>
              </w:rPr>
              <w:t xml:space="preserve">Includes reference to Core, Compulsory and Optional modules, Reg </w:t>
            </w:r>
            <w:r w:rsidR="00353032">
              <w:rPr>
                <w:rFonts w:ascii="Calibri" w:hAnsi="Calibri" w:cs="Arial"/>
                <w:sz w:val="20"/>
                <w:szCs w:val="20"/>
              </w:rPr>
              <w:t>1</w:t>
            </w:r>
            <w:r w:rsidRPr="008316A6">
              <w:rPr>
                <w:rFonts w:ascii="Calibri" w:hAnsi="Calibri" w:cs="Arial"/>
                <w:sz w:val="20"/>
                <w:szCs w:val="20"/>
              </w:rPr>
              <w:t>c.</w:t>
            </w:r>
          </w:p>
          <w:p w:rsidR="00545F5D" w:rsidP="00701F2C" w:rsidRDefault="00701F2C" w14:paraId="1B22DD3F" w14:textId="77777777">
            <w:pPr>
              <w:pStyle w:val="ListParagraph"/>
              <w:numPr>
                <w:ilvl w:val="0"/>
                <w:numId w:val="33"/>
              </w:numPr>
              <w:rPr>
                <w:rFonts w:ascii="Calibri" w:hAnsi="Calibri" w:cs="Arial"/>
                <w:sz w:val="20"/>
                <w:szCs w:val="20"/>
              </w:rPr>
            </w:pPr>
            <w:r w:rsidRPr="008316A6">
              <w:rPr>
                <w:rFonts w:ascii="Calibri" w:hAnsi="Calibri" w:cs="Arial"/>
                <w:sz w:val="20"/>
                <w:szCs w:val="20"/>
              </w:rPr>
              <w:t>Makes explicit Dual Awards, Reg 5.</w:t>
            </w:r>
          </w:p>
          <w:p w:rsidRPr="00545F5D" w:rsidR="00701F2C" w:rsidP="00701F2C" w:rsidRDefault="00701F2C" w14:paraId="1CB2F0A5" w14:textId="78597678">
            <w:pPr>
              <w:pStyle w:val="ListParagraph"/>
              <w:numPr>
                <w:ilvl w:val="0"/>
                <w:numId w:val="33"/>
              </w:numPr>
              <w:rPr>
                <w:rFonts w:ascii="Calibri" w:hAnsi="Calibri" w:cs="Arial"/>
                <w:sz w:val="20"/>
                <w:szCs w:val="20"/>
              </w:rPr>
            </w:pPr>
            <w:r w:rsidRPr="00545F5D">
              <w:rPr>
                <w:rFonts w:ascii="Calibri" w:hAnsi="Calibri" w:cs="Arial"/>
                <w:sz w:val="20"/>
                <w:szCs w:val="20"/>
              </w:rPr>
              <w:t>Removes reference to pre/post and co-requisite modules.</w:t>
            </w:r>
          </w:p>
        </w:tc>
      </w:tr>
      <w:tr w:rsidRPr="002E6BBA" w:rsidR="00701F2C" w:rsidTr="00715E8B" w14:paraId="5201D754" w14:textId="77777777">
        <w:tc>
          <w:tcPr>
            <w:tcW w:w="572" w:type="pct"/>
          </w:tcPr>
          <w:p w:rsidRPr="002E6BBA" w:rsidR="00701F2C" w:rsidP="00701F2C" w:rsidRDefault="00701F2C" w14:paraId="6390FF25" w14:textId="7A203274">
            <w:pPr>
              <w:rPr>
                <w:rFonts w:cs="Arial"/>
              </w:rPr>
            </w:pPr>
            <w:r w:rsidRPr="00645759">
              <w:rPr>
                <w:rFonts w:ascii="Calibri" w:hAnsi="Calibri" w:cs="Arial"/>
                <w:sz w:val="20"/>
                <w:szCs w:val="20"/>
              </w:rPr>
              <w:t>2 1</w:t>
            </w:r>
            <w:r w:rsidR="00353032">
              <w:rPr>
                <w:rFonts w:ascii="Calibri" w:hAnsi="Calibri" w:cs="Arial"/>
                <w:sz w:val="20"/>
                <w:szCs w:val="20"/>
              </w:rPr>
              <w:t>0</w:t>
            </w:r>
          </w:p>
        </w:tc>
        <w:tc>
          <w:tcPr>
            <w:tcW w:w="1804" w:type="pct"/>
          </w:tcPr>
          <w:p w:rsidRPr="002E6BBA" w:rsidR="00701F2C" w:rsidP="00701F2C" w:rsidRDefault="00701F2C" w14:paraId="4C9926B3" w14:textId="66E10E57">
            <w:pPr>
              <w:rPr>
                <w:rFonts w:cs="Arial"/>
              </w:rPr>
            </w:pPr>
            <w:r w:rsidRPr="00645759">
              <w:rPr>
                <w:rFonts w:cstheme="minorHAnsi"/>
                <w:sz w:val="20"/>
                <w:szCs w:val="20"/>
              </w:rPr>
              <w:t xml:space="preserve">Quality Manager, </w:t>
            </w:r>
            <w:r w:rsidRPr="0054173B">
              <w:rPr>
                <w:rFonts w:cstheme="minorHAnsi"/>
                <w:sz w:val="20"/>
                <w:szCs w:val="20"/>
              </w:rPr>
              <w:t>Learning, Teaching and Enhancement (LTE)</w:t>
            </w:r>
          </w:p>
        </w:tc>
        <w:tc>
          <w:tcPr>
            <w:tcW w:w="984" w:type="pct"/>
          </w:tcPr>
          <w:p w:rsidRPr="002E6BBA" w:rsidR="00701F2C" w:rsidP="00701F2C" w:rsidRDefault="00701F2C" w14:paraId="2A6E8F53" w14:textId="054FB38F">
            <w:pPr>
              <w:rPr>
                <w:rFonts w:cs="Arial"/>
              </w:rPr>
            </w:pPr>
            <w:r>
              <w:rPr>
                <w:rFonts w:ascii="Calibri" w:hAnsi="Calibri" w:cs="Arial"/>
                <w:sz w:val="20"/>
                <w:szCs w:val="20"/>
              </w:rPr>
              <w:t>Nov 2017</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00545F5D" w:rsidP="00701F2C" w:rsidRDefault="00701F2C" w14:paraId="4A1370F4" w14:textId="77777777">
            <w:pPr>
              <w:pStyle w:val="ListParagraph"/>
              <w:numPr>
                <w:ilvl w:val="0"/>
                <w:numId w:val="34"/>
              </w:numPr>
              <w:rPr>
                <w:rFonts w:ascii="Calibri" w:hAnsi="Calibri" w:cs="Arial"/>
                <w:sz w:val="20"/>
                <w:szCs w:val="20"/>
              </w:rPr>
            </w:pPr>
            <w:r w:rsidRPr="008316A6">
              <w:rPr>
                <w:rFonts w:ascii="Calibri" w:hAnsi="Calibri" w:cs="Arial"/>
                <w:sz w:val="20"/>
                <w:szCs w:val="20"/>
              </w:rPr>
              <w:t>Changes LEAP to Learning and Teaching Enhancement.</w:t>
            </w:r>
          </w:p>
          <w:p w:rsidRPr="00545F5D" w:rsidR="00701F2C" w:rsidP="00701F2C" w:rsidRDefault="00701F2C" w14:paraId="6E7D2503" w14:textId="6D14C6D2">
            <w:pPr>
              <w:pStyle w:val="ListParagraph"/>
              <w:numPr>
                <w:ilvl w:val="0"/>
                <w:numId w:val="34"/>
              </w:numPr>
              <w:rPr>
                <w:rFonts w:ascii="Calibri" w:hAnsi="Calibri" w:cs="Arial"/>
                <w:sz w:val="20"/>
                <w:szCs w:val="20"/>
              </w:rPr>
            </w:pPr>
            <w:r w:rsidRPr="00545F5D">
              <w:rPr>
                <w:rFonts w:ascii="Calibri" w:hAnsi="Calibri" w:cs="Arial"/>
                <w:sz w:val="20"/>
                <w:szCs w:val="20"/>
              </w:rPr>
              <w:t>Removes reference to Assessment Extensions and Mitigating Circumstances and signposts users to the University Code of Practice: Mitigating Circumstances, Reg 2</w:t>
            </w:r>
            <w:r w:rsidR="00353032">
              <w:rPr>
                <w:rFonts w:ascii="Calibri" w:hAnsi="Calibri" w:cs="Arial"/>
                <w:sz w:val="20"/>
                <w:szCs w:val="20"/>
              </w:rPr>
              <w:t>3</w:t>
            </w:r>
            <w:r w:rsidRPr="00545F5D">
              <w:rPr>
                <w:rFonts w:ascii="Calibri" w:hAnsi="Calibri" w:cs="Arial"/>
                <w:sz w:val="20"/>
                <w:szCs w:val="20"/>
              </w:rPr>
              <w:t xml:space="preserve"> and 2</w:t>
            </w:r>
            <w:r w:rsidR="00353032">
              <w:rPr>
                <w:rFonts w:ascii="Calibri" w:hAnsi="Calibri" w:cs="Arial"/>
                <w:sz w:val="20"/>
                <w:szCs w:val="20"/>
              </w:rPr>
              <w:t>6</w:t>
            </w:r>
            <w:r w:rsidRPr="00545F5D">
              <w:rPr>
                <w:rFonts w:ascii="Calibri" w:hAnsi="Calibri" w:cs="Arial"/>
                <w:sz w:val="20"/>
                <w:szCs w:val="20"/>
              </w:rPr>
              <w:t>.</w:t>
            </w:r>
          </w:p>
        </w:tc>
      </w:tr>
      <w:tr w:rsidRPr="002E6BBA" w:rsidR="00701F2C" w:rsidTr="00715E8B" w14:paraId="02E3DA5E" w14:textId="77777777">
        <w:tc>
          <w:tcPr>
            <w:tcW w:w="572" w:type="pct"/>
          </w:tcPr>
          <w:p w:rsidRPr="002E6BBA" w:rsidR="00701F2C" w:rsidP="00701F2C" w:rsidRDefault="00701F2C" w14:paraId="2BAE9971" w14:textId="507AC7E6">
            <w:pPr>
              <w:rPr>
                <w:rFonts w:cs="Arial"/>
              </w:rPr>
            </w:pPr>
            <w:r w:rsidRPr="00645759">
              <w:rPr>
                <w:rFonts w:ascii="Calibri" w:hAnsi="Calibri" w:cs="Arial"/>
                <w:sz w:val="20"/>
                <w:szCs w:val="20"/>
              </w:rPr>
              <w:t xml:space="preserve">2 </w:t>
            </w:r>
            <w:r w:rsidR="00353032">
              <w:rPr>
                <w:rFonts w:ascii="Calibri" w:hAnsi="Calibri" w:cs="Arial"/>
                <w:sz w:val="20"/>
                <w:szCs w:val="20"/>
              </w:rPr>
              <w:t>09</w:t>
            </w:r>
          </w:p>
        </w:tc>
        <w:tc>
          <w:tcPr>
            <w:tcW w:w="1804" w:type="pct"/>
          </w:tcPr>
          <w:p w:rsidRPr="002E6BBA" w:rsidR="00701F2C" w:rsidP="00701F2C" w:rsidRDefault="00701F2C" w14:paraId="64415B6A" w14:textId="62F0074E">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3A5CE9C5" w14:textId="0B48E4E7">
            <w:pPr>
              <w:rPr>
                <w:rFonts w:cs="Arial"/>
              </w:rPr>
            </w:pPr>
            <w:r>
              <w:rPr>
                <w:rFonts w:ascii="Calibri" w:hAnsi="Calibri" w:cs="Arial"/>
                <w:sz w:val="20"/>
                <w:szCs w:val="20"/>
              </w:rPr>
              <w:t>July 2017</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353032" w:rsidR="00353032" w:rsidP="00353032" w:rsidRDefault="00353032" w14:paraId="47B7A77F" w14:textId="77777777">
            <w:pPr>
              <w:numPr>
                <w:ilvl w:val="0"/>
                <w:numId w:val="35"/>
              </w:numPr>
              <w:contextualSpacing/>
              <w:rPr>
                <w:noProof/>
                <w:sz w:val="20"/>
              </w:rPr>
            </w:pPr>
            <w:r w:rsidRPr="00353032">
              <w:rPr>
                <w:noProof/>
                <w:sz w:val="20"/>
              </w:rPr>
              <w:t>Makes explicit reassessment procedures, Reg 27.</w:t>
            </w:r>
          </w:p>
          <w:p w:rsidRPr="00353032" w:rsidR="00353032" w:rsidP="00353032" w:rsidRDefault="00353032" w14:paraId="6BA19FDC" w14:textId="77777777">
            <w:pPr>
              <w:numPr>
                <w:ilvl w:val="0"/>
                <w:numId w:val="35"/>
              </w:numPr>
              <w:contextualSpacing/>
              <w:rPr>
                <w:noProof/>
                <w:sz w:val="20"/>
              </w:rPr>
            </w:pPr>
            <w:r w:rsidRPr="00353032">
              <w:rPr>
                <w:noProof/>
                <w:sz w:val="20"/>
              </w:rPr>
              <w:t>Clarifies the length of University examinations, Reg 22.</w:t>
            </w:r>
          </w:p>
          <w:p w:rsidRPr="00353032" w:rsidR="00353032" w:rsidP="00353032" w:rsidRDefault="00353032" w14:paraId="327E9AE8" w14:textId="77777777">
            <w:pPr>
              <w:numPr>
                <w:ilvl w:val="0"/>
                <w:numId w:val="35"/>
              </w:numPr>
              <w:contextualSpacing/>
              <w:rPr>
                <w:noProof/>
                <w:sz w:val="20"/>
              </w:rPr>
            </w:pPr>
            <w:r w:rsidRPr="00353032">
              <w:rPr>
                <w:noProof/>
                <w:sz w:val="20"/>
              </w:rPr>
              <w:t>Introduces the award of Aegrotat Award to students and provides explanation, Reg 38.</w:t>
            </w:r>
          </w:p>
          <w:p w:rsidRPr="00353032" w:rsidR="00353032" w:rsidP="00353032" w:rsidRDefault="00353032" w14:paraId="3E0983FB" w14:textId="77777777">
            <w:pPr>
              <w:numPr>
                <w:ilvl w:val="0"/>
                <w:numId w:val="35"/>
              </w:numPr>
              <w:contextualSpacing/>
              <w:rPr>
                <w:noProof/>
                <w:sz w:val="20"/>
              </w:rPr>
            </w:pPr>
            <w:r w:rsidRPr="00353032">
              <w:rPr>
                <w:noProof/>
                <w:sz w:val="20"/>
              </w:rPr>
              <w:lastRenderedPageBreak/>
              <w:t>Introduces the award of Posthumous Award to students and provides explanation, Reg 39.</w:t>
            </w:r>
          </w:p>
          <w:p w:rsidRPr="00353032" w:rsidR="00353032" w:rsidP="00353032" w:rsidRDefault="00353032" w14:paraId="1980F280" w14:textId="634AEA2C">
            <w:pPr>
              <w:numPr>
                <w:ilvl w:val="0"/>
                <w:numId w:val="35"/>
              </w:numPr>
              <w:contextualSpacing/>
              <w:rPr>
                <w:rFonts w:cs="Arial"/>
                <w:bCs/>
                <w:noProof/>
                <w:sz w:val="20"/>
              </w:rPr>
            </w:pPr>
            <w:r w:rsidRPr="00353032">
              <w:rPr>
                <w:noProof/>
                <w:sz w:val="20"/>
              </w:rPr>
              <w:t>Other minor amendments.</w:t>
            </w:r>
          </w:p>
        </w:tc>
      </w:tr>
      <w:tr w:rsidRPr="002E6BBA" w:rsidR="00701F2C" w:rsidTr="00715E8B" w14:paraId="7D1A8DEB" w14:textId="77777777">
        <w:tc>
          <w:tcPr>
            <w:tcW w:w="572" w:type="pct"/>
          </w:tcPr>
          <w:p w:rsidRPr="002E6BBA" w:rsidR="00701F2C" w:rsidP="00701F2C" w:rsidRDefault="00701F2C" w14:paraId="7A3CEEA9" w14:textId="31031B64">
            <w:pPr>
              <w:rPr>
                <w:rFonts w:cs="Arial"/>
              </w:rPr>
            </w:pPr>
            <w:r w:rsidRPr="00645759">
              <w:rPr>
                <w:rFonts w:ascii="Calibri" w:hAnsi="Calibri" w:cs="Arial"/>
                <w:sz w:val="20"/>
                <w:szCs w:val="20"/>
              </w:rPr>
              <w:lastRenderedPageBreak/>
              <w:t xml:space="preserve">2 </w:t>
            </w:r>
            <w:r>
              <w:rPr>
                <w:rFonts w:ascii="Calibri" w:hAnsi="Calibri" w:cs="Arial"/>
                <w:sz w:val="20"/>
                <w:szCs w:val="20"/>
              </w:rPr>
              <w:t>0</w:t>
            </w:r>
            <w:r w:rsidR="00353032">
              <w:rPr>
                <w:rFonts w:ascii="Calibri" w:hAnsi="Calibri" w:cs="Arial"/>
                <w:sz w:val="20"/>
                <w:szCs w:val="20"/>
              </w:rPr>
              <w:t>8</w:t>
            </w:r>
          </w:p>
        </w:tc>
        <w:tc>
          <w:tcPr>
            <w:tcW w:w="1804" w:type="pct"/>
          </w:tcPr>
          <w:p w:rsidRPr="002E6BBA" w:rsidR="00701F2C" w:rsidP="00701F2C" w:rsidRDefault="00701F2C" w14:paraId="0E9CB12D" w14:textId="0EB26AD6">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2C45C56B" w14:textId="0B2D24FC">
            <w:pPr>
              <w:rPr>
                <w:rFonts w:cs="Arial"/>
              </w:rPr>
            </w:pPr>
            <w:r>
              <w:rPr>
                <w:rFonts w:ascii="Calibri" w:hAnsi="Calibri" w:cs="Arial"/>
                <w:sz w:val="20"/>
                <w:szCs w:val="20"/>
              </w:rPr>
              <w:t>Sept 2016</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545F5D" w:rsidR="00701F2C" w:rsidP="00545F5D" w:rsidRDefault="00701F2C" w14:paraId="5DF0A04D" w14:textId="77777777">
            <w:pPr>
              <w:rPr>
                <w:rFonts w:ascii="Calibri" w:hAnsi="Calibri" w:cs="Arial"/>
              </w:rPr>
            </w:pPr>
            <w:r w:rsidRPr="00545F5D">
              <w:rPr>
                <w:rFonts w:ascii="Calibri" w:hAnsi="Calibri" w:cs="Arial"/>
              </w:rPr>
              <w:t>Amendments to a number of Regs. in order to provide clarity and consistency for decision making at examination boards</w:t>
            </w:r>
          </w:p>
          <w:p w:rsidR="00701F2C" w:rsidP="00545F5D" w:rsidRDefault="00701F2C" w14:paraId="7342921F" w14:textId="00170286">
            <w:pPr>
              <w:pStyle w:val="ListParagraph"/>
              <w:numPr>
                <w:ilvl w:val="0"/>
                <w:numId w:val="36"/>
              </w:numPr>
              <w:rPr>
                <w:rFonts w:ascii="Calibri" w:hAnsi="Calibri" w:cs="Arial"/>
              </w:rPr>
            </w:pPr>
            <w:r w:rsidRPr="005052C3">
              <w:rPr>
                <w:rFonts w:ascii="Calibri" w:hAnsi="Calibri" w:cs="Arial"/>
              </w:rPr>
              <w:t>Re-orders Reg 2</w:t>
            </w:r>
            <w:r w:rsidR="00353032">
              <w:rPr>
                <w:rFonts w:ascii="Calibri" w:hAnsi="Calibri" w:cs="Arial"/>
              </w:rPr>
              <w:t>3</w:t>
            </w:r>
            <w:r w:rsidRPr="005052C3">
              <w:rPr>
                <w:rFonts w:ascii="Calibri" w:hAnsi="Calibri" w:cs="Arial"/>
              </w:rPr>
              <w:t xml:space="preserve"> Assessment Extensions (previously Absence with Good Cause) to provide clarity.</w:t>
            </w:r>
          </w:p>
          <w:p w:rsidR="00701F2C" w:rsidP="00545F5D" w:rsidRDefault="00701F2C" w14:paraId="5BEC9B88" w14:textId="14523B61">
            <w:pPr>
              <w:pStyle w:val="ListParagraph"/>
              <w:numPr>
                <w:ilvl w:val="0"/>
                <w:numId w:val="36"/>
              </w:numPr>
              <w:rPr>
                <w:rFonts w:ascii="Calibri" w:hAnsi="Calibri" w:cs="Arial"/>
              </w:rPr>
            </w:pPr>
            <w:r w:rsidRPr="005052C3">
              <w:rPr>
                <w:rFonts w:ascii="Calibri" w:hAnsi="Calibri" w:cs="Arial"/>
              </w:rPr>
              <w:t>Re-orders Reg 2</w:t>
            </w:r>
            <w:r w:rsidR="00353032">
              <w:rPr>
                <w:rFonts w:ascii="Calibri" w:hAnsi="Calibri" w:cs="Arial"/>
              </w:rPr>
              <w:t xml:space="preserve">6 </w:t>
            </w:r>
            <w:r w:rsidRPr="005052C3">
              <w:rPr>
                <w:rFonts w:ascii="Calibri" w:hAnsi="Calibri" w:cs="Arial"/>
              </w:rPr>
              <w:t>Mitigating Circumstances to provide clarity</w:t>
            </w:r>
            <w:r>
              <w:rPr>
                <w:rFonts w:ascii="Calibri" w:hAnsi="Calibri" w:cs="Arial"/>
              </w:rPr>
              <w:t>.</w:t>
            </w:r>
          </w:p>
          <w:p w:rsidRPr="002E6BBA" w:rsidR="00701F2C" w:rsidP="00701F2C" w:rsidRDefault="00701F2C" w14:paraId="0BB36AF2" w14:textId="2DCB1074">
            <w:pPr>
              <w:rPr>
                <w:rFonts w:cs="Arial"/>
              </w:rPr>
            </w:pPr>
            <w:r w:rsidRPr="005052C3">
              <w:rPr>
                <w:rFonts w:ascii="Calibri" w:hAnsi="Calibri" w:cs="Arial"/>
              </w:rPr>
              <w:t>Provides transparency for the rounding of module marks, Reg 2</w:t>
            </w:r>
            <w:r w:rsidR="00353032">
              <w:rPr>
                <w:rFonts w:ascii="Calibri" w:hAnsi="Calibri" w:cs="Arial"/>
              </w:rPr>
              <w:t>5</w:t>
            </w:r>
            <w:r>
              <w:rPr>
                <w:rFonts w:ascii="Calibri" w:hAnsi="Calibri" w:cs="Arial"/>
              </w:rPr>
              <w:t>.</w:t>
            </w:r>
          </w:p>
        </w:tc>
      </w:tr>
      <w:tr w:rsidRPr="002E6BBA" w:rsidR="00701F2C" w:rsidTr="00715E8B" w14:paraId="71B5CCD6" w14:textId="77777777">
        <w:tc>
          <w:tcPr>
            <w:tcW w:w="572" w:type="pct"/>
          </w:tcPr>
          <w:p w:rsidRPr="002E6BBA" w:rsidR="00701F2C" w:rsidP="00701F2C" w:rsidRDefault="00701F2C" w14:paraId="7EC35F90" w14:textId="3CBE9101">
            <w:pPr>
              <w:rPr>
                <w:rFonts w:cs="Arial"/>
              </w:rPr>
            </w:pPr>
            <w:r w:rsidRPr="00645759">
              <w:rPr>
                <w:rFonts w:ascii="Calibri" w:hAnsi="Calibri" w:cs="Arial"/>
                <w:sz w:val="20"/>
                <w:szCs w:val="20"/>
              </w:rPr>
              <w:t xml:space="preserve">2 </w:t>
            </w:r>
            <w:r>
              <w:rPr>
                <w:rFonts w:ascii="Calibri" w:hAnsi="Calibri" w:cs="Arial"/>
                <w:sz w:val="20"/>
                <w:szCs w:val="20"/>
              </w:rPr>
              <w:t>0</w:t>
            </w:r>
            <w:r w:rsidR="00353032">
              <w:rPr>
                <w:rFonts w:ascii="Calibri" w:hAnsi="Calibri" w:cs="Arial"/>
                <w:sz w:val="20"/>
                <w:szCs w:val="20"/>
              </w:rPr>
              <w:t>7</w:t>
            </w:r>
          </w:p>
        </w:tc>
        <w:tc>
          <w:tcPr>
            <w:tcW w:w="1804" w:type="pct"/>
          </w:tcPr>
          <w:p w:rsidRPr="002E6BBA" w:rsidR="00701F2C" w:rsidP="00701F2C" w:rsidRDefault="00701F2C" w14:paraId="2836066F" w14:textId="1D9F0C1D">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3BA19230" w14:textId="59B4F7E6">
            <w:pPr>
              <w:rPr>
                <w:rFonts w:cs="Arial"/>
              </w:rPr>
            </w:pPr>
            <w:r>
              <w:rPr>
                <w:rFonts w:ascii="Calibri" w:hAnsi="Calibri" w:cs="Arial"/>
                <w:sz w:val="20"/>
                <w:szCs w:val="20"/>
              </w:rPr>
              <w:t>Aug 2016</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0C4FED00" w14:textId="6E55173E">
            <w:pPr>
              <w:pStyle w:val="ListParagraph"/>
              <w:numPr>
                <w:ilvl w:val="0"/>
                <w:numId w:val="37"/>
              </w:numPr>
              <w:rPr>
                <w:rFonts w:cs="Arial"/>
                <w:bCs/>
                <w:sz w:val="20"/>
              </w:rPr>
            </w:pPr>
            <w:r w:rsidRPr="00A23662">
              <w:rPr>
                <w:rFonts w:cs="Arial"/>
                <w:bCs/>
                <w:sz w:val="20"/>
              </w:rPr>
              <w:t>Introduces the award of PG Graduate Certificate with Merit and PG Graduate Certificate with Distinction (reg 3</w:t>
            </w:r>
            <w:r w:rsidR="00353032">
              <w:rPr>
                <w:rFonts w:cs="Arial"/>
                <w:bCs/>
                <w:sz w:val="20"/>
              </w:rPr>
              <w:t>7</w:t>
            </w:r>
            <w:r w:rsidRPr="00A23662">
              <w:rPr>
                <w:rFonts w:cs="Arial"/>
                <w:bCs/>
                <w:sz w:val="20"/>
              </w:rPr>
              <w:t>)</w:t>
            </w:r>
            <w:r>
              <w:rPr>
                <w:rFonts w:cs="Arial"/>
                <w:bCs/>
                <w:sz w:val="20"/>
              </w:rPr>
              <w:t>.</w:t>
            </w:r>
          </w:p>
          <w:p w:rsidRPr="00545F5D" w:rsidR="00701F2C" w:rsidP="00701F2C" w:rsidRDefault="00701F2C" w14:paraId="40720850" w14:textId="4C0F918F">
            <w:pPr>
              <w:pStyle w:val="ListParagraph"/>
              <w:numPr>
                <w:ilvl w:val="0"/>
                <w:numId w:val="37"/>
              </w:numPr>
              <w:rPr>
                <w:rFonts w:cs="Arial"/>
                <w:bCs/>
                <w:sz w:val="20"/>
              </w:rPr>
            </w:pPr>
            <w:r w:rsidRPr="00545F5D">
              <w:rPr>
                <w:rFonts w:cs="Arial"/>
                <w:bCs/>
                <w:sz w:val="20"/>
              </w:rPr>
              <w:t>Inclusion of a conversion chart (appendix 1)</w:t>
            </w:r>
            <w:r w:rsidRPr="00545F5D">
              <w:rPr>
                <w:sz w:val="20"/>
              </w:rPr>
              <w:t xml:space="preserve"> to reflect the new pass mark of 50 for Level 7 modules.</w:t>
            </w:r>
          </w:p>
        </w:tc>
      </w:tr>
      <w:tr w:rsidRPr="002E6BBA" w:rsidR="00701F2C" w:rsidTr="00715E8B" w14:paraId="279E2470" w14:textId="77777777">
        <w:tc>
          <w:tcPr>
            <w:tcW w:w="572" w:type="pct"/>
          </w:tcPr>
          <w:p w:rsidRPr="002E6BBA" w:rsidR="00701F2C" w:rsidP="00701F2C" w:rsidRDefault="00701F2C" w14:paraId="11262483" w14:textId="59810AED">
            <w:pPr>
              <w:rPr>
                <w:rFonts w:cs="Arial"/>
              </w:rPr>
            </w:pPr>
            <w:r w:rsidRPr="00645759">
              <w:rPr>
                <w:rFonts w:ascii="Calibri" w:hAnsi="Calibri" w:cs="Arial"/>
                <w:sz w:val="20"/>
                <w:szCs w:val="20"/>
              </w:rPr>
              <w:t xml:space="preserve">2 </w:t>
            </w:r>
            <w:r>
              <w:rPr>
                <w:rFonts w:ascii="Calibri" w:hAnsi="Calibri" w:cs="Arial"/>
                <w:sz w:val="20"/>
                <w:szCs w:val="20"/>
              </w:rPr>
              <w:t>0</w:t>
            </w:r>
            <w:r w:rsidR="00353032">
              <w:rPr>
                <w:rFonts w:ascii="Calibri" w:hAnsi="Calibri" w:cs="Arial"/>
                <w:sz w:val="20"/>
                <w:szCs w:val="20"/>
              </w:rPr>
              <w:t>6</w:t>
            </w:r>
          </w:p>
        </w:tc>
        <w:tc>
          <w:tcPr>
            <w:tcW w:w="1804" w:type="pct"/>
          </w:tcPr>
          <w:p w:rsidRPr="002E6BBA" w:rsidR="00701F2C" w:rsidP="00701F2C" w:rsidRDefault="00701F2C" w14:paraId="7F537C18" w14:textId="7143C880">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40CCA200" w14:textId="59205CBD">
            <w:pPr>
              <w:rPr>
                <w:rFonts w:cs="Arial"/>
              </w:rPr>
            </w:pPr>
            <w:r>
              <w:rPr>
                <w:rFonts w:ascii="Calibri" w:hAnsi="Calibri" w:cs="Arial"/>
                <w:sz w:val="20"/>
                <w:szCs w:val="20"/>
              </w:rPr>
              <w:t>May 2016</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701F2C" w:rsidP="00701F2C" w:rsidRDefault="00701F2C" w14:paraId="4992A743" w14:textId="77777777">
            <w:pPr>
              <w:pStyle w:val="ListParagraph"/>
              <w:numPr>
                <w:ilvl w:val="0"/>
                <w:numId w:val="38"/>
              </w:numPr>
              <w:rPr>
                <w:rFonts w:ascii="Calibri" w:hAnsi="Calibri" w:cs="Arial"/>
              </w:rPr>
            </w:pPr>
            <w:r w:rsidRPr="005052C3">
              <w:rPr>
                <w:rFonts w:ascii="Calibri" w:hAnsi="Calibri" w:cs="Arial"/>
              </w:rPr>
              <w:t>Introduces the pass mark of 50 for Level 7 modules</w:t>
            </w:r>
            <w:r>
              <w:rPr>
                <w:rFonts w:ascii="Calibri" w:hAnsi="Calibri" w:cs="Arial"/>
              </w:rPr>
              <w:t>.</w:t>
            </w:r>
          </w:p>
          <w:p w:rsidR="00701F2C" w:rsidP="00701F2C" w:rsidRDefault="00701F2C" w14:paraId="1A277EB3" w14:textId="77777777">
            <w:pPr>
              <w:pStyle w:val="ListParagraph"/>
              <w:numPr>
                <w:ilvl w:val="0"/>
                <w:numId w:val="38"/>
              </w:numPr>
              <w:rPr>
                <w:rFonts w:ascii="Calibri" w:hAnsi="Calibri" w:cs="Arial"/>
              </w:rPr>
            </w:pPr>
            <w:r w:rsidRPr="005052C3">
              <w:rPr>
                <w:rFonts w:ascii="Calibri" w:hAnsi="Calibri" w:cs="Arial"/>
              </w:rPr>
              <w:t>Replaces Programme Approvals Committee with Programme Management Committee</w:t>
            </w:r>
            <w:r>
              <w:rPr>
                <w:rFonts w:ascii="Calibri" w:hAnsi="Calibri" w:cs="Arial"/>
              </w:rPr>
              <w:t>.</w:t>
            </w:r>
          </w:p>
          <w:p w:rsidR="00701F2C" w:rsidP="00701F2C" w:rsidRDefault="00701F2C" w14:paraId="783445D5" w14:textId="29B0D275">
            <w:pPr>
              <w:pStyle w:val="ListParagraph"/>
              <w:numPr>
                <w:ilvl w:val="0"/>
                <w:numId w:val="38"/>
              </w:numPr>
              <w:rPr>
                <w:rFonts w:ascii="Calibri" w:hAnsi="Calibri" w:cs="Arial"/>
              </w:rPr>
            </w:pPr>
            <w:r w:rsidRPr="005052C3">
              <w:rPr>
                <w:rFonts w:ascii="Calibri" w:hAnsi="Calibri" w:cs="Arial"/>
              </w:rPr>
              <w:t>Introduces revised regulations for applications for Mitigating Circumstances (reg. 2</w:t>
            </w:r>
            <w:r w:rsidR="00353032">
              <w:rPr>
                <w:rFonts w:ascii="Calibri" w:hAnsi="Calibri" w:cs="Arial"/>
              </w:rPr>
              <w:t>6</w:t>
            </w:r>
            <w:r w:rsidRPr="005052C3">
              <w:rPr>
                <w:rFonts w:ascii="Calibri" w:hAnsi="Calibri" w:cs="Arial"/>
              </w:rPr>
              <w:t>)</w:t>
            </w:r>
            <w:r>
              <w:rPr>
                <w:rFonts w:ascii="Calibri" w:hAnsi="Calibri" w:cs="Arial"/>
              </w:rPr>
              <w:t>.</w:t>
            </w:r>
          </w:p>
          <w:p w:rsidR="00701F2C" w:rsidP="00701F2C" w:rsidRDefault="00701F2C" w14:paraId="0867EE0D" w14:textId="77777777">
            <w:pPr>
              <w:pStyle w:val="ListParagraph"/>
              <w:numPr>
                <w:ilvl w:val="0"/>
                <w:numId w:val="38"/>
              </w:numPr>
              <w:rPr>
                <w:rFonts w:ascii="Calibri" w:hAnsi="Calibri" w:cs="Arial"/>
              </w:rPr>
            </w:pPr>
            <w:r w:rsidRPr="005052C3">
              <w:rPr>
                <w:rFonts w:ascii="Calibri" w:hAnsi="Calibri" w:cs="Arial"/>
              </w:rPr>
              <w:t>Replaces Unfair Means with Academic Misconduct</w:t>
            </w:r>
            <w:r>
              <w:rPr>
                <w:rFonts w:ascii="Calibri" w:hAnsi="Calibri" w:cs="Arial"/>
              </w:rPr>
              <w:t>.</w:t>
            </w:r>
          </w:p>
          <w:p w:rsidR="00701F2C" w:rsidP="00701F2C" w:rsidRDefault="00701F2C" w14:paraId="16240AF8" w14:textId="77777777">
            <w:pPr>
              <w:pStyle w:val="ListParagraph"/>
              <w:numPr>
                <w:ilvl w:val="0"/>
                <w:numId w:val="38"/>
              </w:numPr>
              <w:rPr>
                <w:rFonts w:ascii="Calibri" w:hAnsi="Calibri" w:cs="Arial"/>
              </w:rPr>
            </w:pPr>
            <w:r w:rsidRPr="005052C3">
              <w:rPr>
                <w:rFonts w:ascii="Calibri" w:hAnsi="Calibri" w:cs="Arial"/>
              </w:rPr>
              <w:t>Replaces Intercalation with Suspension of Study</w:t>
            </w:r>
            <w:r>
              <w:rPr>
                <w:rFonts w:ascii="Calibri" w:hAnsi="Calibri" w:cs="Arial"/>
              </w:rPr>
              <w:t>.</w:t>
            </w:r>
          </w:p>
          <w:p w:rsidR="00701F2C" w:rsidP="00701F2C" w:rsidRDefault="00701F2C" w14:paraId="7FC57FF1" w14:textId="77777777">
            <w:pPr>
              <w:pStyle w:val="ListParagraph"/>
              <w:numPr>
                <w:ilvl w:val="0"/>
                <w:numId w:val="38"/>
              </w:numPr>
              <w:rPr>
                <w:rFonts w:ascii="Calibri" w:hAnsi="Calibri" w:cs="Arial"/>
              </w:rPr>
            </w:pPr>
            <w:r w:rsidRPr="005052C3">
              <w:rPr>
                <w:rFonts w:ascii="Calibri" w:hAnsi="Calibri" w:cs="Arial"/>
              </w:rPr>
              <w:t>Replaces Sub-Module with Module Component</w:t>
            </w:r>
            <w:r>
              <w:rPr>
                <w:rFonts w:ascii="Calibri" w:hAnsi="Calibri" w:cs="Arial"/>
              </w:rPr>
              <w:t>.</w:t>
            </w:r>
          </w:p>
          <w:p w:rsidR="00701F2C" w:rsidP="00701F2C" w:rsidRDefault="00701F2C" w14:paraId="56CA3510" w14:textId="77777777">
            <w:pPr>
              <w:pStyle w:val="ListParagraph"/>
              <w:numPr>
                <w:ilvl w:val="0"/>
                <w:numId w:val="38"/>
              </w:numPr>
              <w:rPr>
                <w:rFonts w:ascii="Calibri" w:hAnsi="Calibri" w:cs="Arial"/>
              </w:rPr>
            </w:pPr>
            <w:r w:rsidRPr="005052C3">
              <w:rPr>
                <w:rFonts w:ascii="Calibri" w:hAnsi="Calibri" w:cs="Arial"/>
              </w:rPr>
              <w:t>Replaces Semester with Trimester</w:t>
            </w:r>
            <w:r>
              <w:rPr>
                <w:rFonts w:ascii="Calibri" w:hAnsi="Calibri" w:cs="Arial"/>
              </w:rPr>
              <w:t>.</w:t>
            </w:r>
          </w:p>
          <w:p w:rsidR="00545F5D" w:rsidP="00701F2C" w:rsidRDefault="00701F2C" w14:paraId="59345DDD" w14:textId="77777777">
            <w:pPr>
              <w:pStyle w:val="ListParagraph"/>
              <w:numPr>
                <w:ilvl w:val="0"/>
                <w:numId w:val="38"/>
              </w:numPr>
              <w:rPr>
                <w:rFonts w:ascii="Calibri" w:hAnsi="Calibri" w:cs="Arial"/>
              </w:rPr>
            </w:pPr>
            <w:r w:rsidRPr="005052C3">
              <w:rPr>
                <w:rFonts w:ascii="Calibri" w:hAnsi="Calibri" w:cs="Arial"/>
              </w:rPr>
              <w:lastRenderedPageBreak/>
              <w:t>Replaces Head of Department with Head of School</w:t>
            </w:r>
            <w:r>
              <w:rPr>
                <w:rFonts w:ascii="Calibri" w:hAnsi="Calibri" w:cs="Arial"/>
              </w:rPr>
              <w:t>.</w:t>
            </w:r>
          </w:p>
          <w:p w:rsidRPr="00545F5D" w:rsidR="00701F2C" w:rsidP="00701F2C" w:rsidRDefault="00701F2C" w14:paraId="056FA874" w14:textId="2A7B59E5">
            <w:pPr>
              <w:pStyle w:val="ListParagraph"/>
              <w:numPr>
                <w:ilvl w:val="0"/>
                <w:numId w:val="38"/>
              </w:numPr>
              <w:rPr>
                <w:rFonts w:ascii="Calibri" w:hAnsi="Calibri" w:cs="Arial"/>
              </w:rPr>
            </w:pPr>
            <w:r w:rsidRPr="00545F5D">
              <w:rPr>
                <w:rFonts w:ascii="Calibri" w:hAnsi="Calibri" w:cs="Arial"/>
              </w:rPr>
              <w:t>Other minor amendments.</w:t>
            </w:r>
          </w:p>
        </w:tc>
      </w:tr>
      <w:tr w:rsidRPr="002E6BBA" w:rsidR="00701F2C" w:rsidTr="00715E8B" w14:paraId="243B30C4" w14:textId="77777777">
        <w:tc>
          <w:tcPr>
            <w:tcW w:w="572" w:type="pct"/>
          </w:tcPr>
          <w:p w:rsidRPr="002E6BBA" w:rsidR="00701F2C" w:rsidP="00701F2C" w:rsidRDefault="00701F2C" w14:paraId="78E89C4C" w14:textId="697DC0F2">
            <w:pPr>
              <w:rPr>
                <w:rFonts w:cs="Arial"/>
              </w:rPr>
            </w:pPr>
            <w:r w:rsidRPr="00645759">
              <w:rPr>
                <w:rFonts w:ascii="Calibri" w:hAnsi="Calibri" w:cs="Arial"/>
                <w:sz w:val="20"/>
                <w:szCs w:val="20"/>
              </w:rPr>
              <w:lastRenderedPageBreak/>
              <w:t xml:space="preserve">2 </w:t>
            </w:r>
            <w:r>
              <w:rPr>
                <w:rFonts w:ascii="Calibri" w:hAnsi="Calibri" w:cs="Arial"/>
                <w:sz w:val="20"/>
                <w:szCs w:val="20"/>
              </w:rPr>
              <w:t>0</w:t>
            </w:r>
            <w:r w:rsidR="00353032">
              <w:rPr>
                <w:rFonts w:ascii="Calibri" w:hAnsi="Calibri" w:cs="Arial"/>
                <w:sz w:val="20"/>
                <w:szCs w:val="20"/>
              </w:rPr>
              <w:t>5</w:t>
            </w:r>
          </w:p>
        </w:tc>
        <w:tc>
          <w:tcPr>
            <w:tcW w:w="1804" w:type="pct"/>
          </w:tcPr>
          <w:p w:rsidRPr="002E6BBA" w:rsidR="00701F2C" w:rsidP="00701F2C" w:rsidRDefault="00701F2C" w14:paraId="0EC117FB" w14:textId="4901BF8D">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20C1C224" w14:textId="09DBFBEA">
            <w:pPr>
              <w:rPr>
                <w:rFonts w:cs="Arial"/>
              </w:rPr>
            </w:pPr>
            <w:r>
              <w:rPr>
                <w:rFonts w:ascii="Calibri" w:hAnsi="Calibri" w:cs="Arial"/>
                <w:sz w:val="20"/>
                <w:szCs w:val="20"/>
              </w:rPr>
              <w:t>Aug 2015</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545F5D" w:rsidR="00545F5D" w:rsidP="00701F2C" w:rsidRDefault="00701F2C" w14:paraId="31FFBB30" w14:textId="329CB1D6">
            <w:pPr>
              <w:numPr>
                <w:ilvl w:val="0"/>
                <w:numId w:val="39"/>
              </w:numPr>
              <w:rPr>
                <w:rFonts w:cs="Arial"/>
                <w:b/>
                <w:sz w:val="20"/>
              </w:rPr>
            </w:pPr>
            <w:r>
              <w:rPr>
                <w:rFonts w:cs="Arial"/>
                <w:sz w:val="20"/>
              </w:rPr>
              <w:t>Removes reference to ‘matriculation’ (reg 1</w:t>
            </w:r>
            <w:r w:rsidR="00353032">
              <w:rPr>
                <w:rFonts w:cs="Arial"/>
                <w:sz w:val="20"/>
              </w:rPr>
              <w:t>1</w:t>
            </w:r>
            <w:r>
              <w:rPr>
                <w:rFonts w:cs="Arial"/>
                <w:sz w:val="20"/>
              </w:rPr>
              <w:t>).</w:t>
            </w:r>
          </w:p>
          <w:p w:rsidRPr="00545F5D" w:rsidR="00701F2C" w:rsidP="00701F2C" w:rsidRDefault="00701F2C" w14:paraId="44419D45" w14:textId="57995FDE">
            <w:pPr>
              <w:numPr>
                <w:ilvl w:val="0"/>
                <w:numId w:val="39"/>
              </w:numPr>
              <w:rPr>
                <w:rFonts w:cs="Arial"/>
                <w:b/>
                <w:sz w:val="20"/>
              </w:rPr>
            </w:pPr>
            <w:r w:rsidRPr="00545F5D">
              <w:rPr>
                <w:rFonts w:cs="Arial"/>
                <w:sz w:val="20"/>
              </w:rPr>
              <w:t>Replaces Head of Student Support with Head of Student Wellbeing, Learning and Welfare Support.</w:t>
            </w:r>
          </w:p>
        </w:tc>
      </w:tr>
      <w:tr w:rsidRPr="002E6BBA" w:rsidR="00701F2C" w:rsidTr="00715E8B" w14:paraId="29AB0E34" w14:textId="77777777">
        <w:tc>
          <w:tcPr>
            <w:tcW w:w="572" w:type="pct"/>
          </w:tcPr>
          <w:p w:rsidRPr="002E6BBA" w:rsidR="00701F2C" w:rsidP="00701F2C" w:rsidRDefault="00701F2C" w14:paraId="0DCA9ABC" w14:textId="1DA91938">
            <w:pPr>
              <w:rPr>
                <w:rFonts w:cs="Arial"/>
              </w:rPr>
            </w:pPr>
            <w:r w:rsidRPr="00645759">
              <w:rPr>
                <w:rFonts w:ascii="Calibri" w:hAnsi="Calibri" w:cs="Arial"/>
                <w:sz w:val="20"/>
                <w:szCs w:val="20"/>
              </w:rPr>
              <w:t xml:space="preserve">2 </w:t>
            </w:r>
            <w:r>
              <w:rPr>
                <w:rFonts w:ascii="Calibri" w:hAnsi="Calibri" w:cs="Arial"/>
                <w:sz w:val="20"/>
                <w:szCs w:val="20"/>
              </w:rPr>
              <w:t>0</w:t>
            </w:r>
            <w:r w:rsidR="00353032">
              <w:rPr>
                <w:rFonts w:ascii="Calibri" w:hAnsi="Calibri" w:cs="Arial"/>
                <w:sz w:val="20"/>
                <w:szCs w:val="20"/>
              </w:rPr>
              <w:t>4</w:t>
            </w:r>
          </w:p>
        </w:tc>
        <w:tc>
          <w:tcPr>
            <w:tcW w:w="1804" w:type="pct"/>
          </w:tcPr>
          <w:p w:rsidRPr="002E6BBA" w:rsidR="00701F2C" w:rsidP="00701F2C" w:rsidRDefault="00701F2C" w14:paraId="309ED55F" w14:textId="42DF2F5F">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586C6465" w14:textId="50B25CEC">
            <w:pPr>
              <w:rPr>
                <w:rFonts w:cs="Arial"/>
              </w:rPr>
            </w:pPr>
            <w:r>
              <w:rPr>
                <w:rFonts w:ascii="Calibri" w:hAnsi="Calibri" w:cs="Arial"/>
                <w:sz w:val="20"/>
                <w:szCs w:val="20"/>
              </w:rPr>
              <w:t>Sept 2014</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16D6A0B0" w14:textId="5FDA5386">
            <w:pPr>
              <w:numPr>
                <w:ilvl w:val="0"/>
                <w:numId w:val="39"/>
              </w:numPr>
              <w:jc w:val="both"/>
              <w:rPr>
                <w:rFonts w:cs="Arial"/>
                <w:sz w:val="20"/>
              </w:rPr>
            </w:pPr>
            <w:r>
              <w:rPr>
                <w:rFonts w:cs="Arial"/>
                <w:sz w:val="20"/>
              </w:rPr>
              <w:t>Addition of an explanatory note regarding extensions for students studying with a Tier 4 visa (reg. 2</w:t>
            </w:r>
            <w:r w:rsidR="00353032">
              <w:rPr>
                <w:rFonts w:cs="Arial"/>
                <w:sz w:val="20"/>
              </w:rPr>
              <w:t>3</w:t>
            </w:r>
            <w:r>
              <w:rPr>
                <w:rFonts w:cs="Arial"/>
                <w:sz w:val="20"/>
              </w:rPr>
              <w:t>).</w:t>
            </w:r>
          </w:p>
          <w:p w:rsidRPr="00545F5D" w:rsidR="00701F2C" w:rsidP="00701F2C" w:rsidRDefault="00701F2C" w14:paraId="51544A16" w14:textId="38A75AC8">
            <w:pPr>
              <w:numPr>
                <w:ilvl w:val="0"/>
                <w:numId w:val="39"/>
              </w:numPr>
              <w:jc w:val="both"/>
              <w:rPr>
                <w:rFonts w:cs="Arial"/>
                <w:sz w:val="20"/>
              </w:rPr>
            </w:pPr>
            <w:r w:rsidRPr="00545F5D">
              <w:rPr>
                <w:rFonts w:cs="Arial"/>
                <w:sz w:val="20"/>
              </w:rPr>
              <w:t>Removes the discretion of Boards of Examiners to deny reassessment on the grounds of attendance (reg. 2</w:t>
            </w:r>
            <w:r w:rsidR="00353032">
              <w:rPr>
                <w:rFonts w:cs="Arial"/>
                <w:sz w:val="20"/>
              </w:rPr>
              <w:t>7</w:t>
            </w:r>
            <w:r w:rsidRPr="00545F5D">
              <w:rPr>
                <w:rFonts w:cs="Arial"/>
                <w:sz w:val="20"/>
              </w:rPr>
              <w:t>).</w:t>
            </w:r>
          </w:p>
        </w:tc>
      </w:tr>
      <w:tr w:rsidRPr="002E6BBA" w:rsidR="00701F2C" w:rsidTr="00715E8B" w14:paraId="3D0CD0AF" w14:textId="77777777">
        <w:tc>
          <w:tcPr>
            <w:tcW w:w="572" w:type="pct"/>
          </w:tcPr>
          <w:p w:rsidRPr="002E6BBA" w:rsidR="00701F2C" w:rsidP="00701F2C" w:rsidRDefault="00701F2C" w14:paraId="6BC97CB3" w14:textId="7B2669F9">
            <w:pPr>
              <w:rPr>
                <w:rFonts w:cs="Arial"/>
              </w:rPr>
            </w:pPr>
            <w:r w:rsidRPr="00645759">
              <w:rPr>
                <w:rFonts w:ascii="Calibri" w:hAnsi="Calibri" w:cs="Arial"/>
                <w:sz w:val="20"/>
                <w:szCs w:val="20"/>
              </w:rPr>
              <w:t xml:space="preserve">2 </w:t>
            </w:r>
            <w:r>
              <w:rPr>
                <w:rFonts w:ascii="Calibri" w:hAnsi="Calibri" w:cs="Arial"/>
                <w:sz w:val="20"/>
                <w:szCs w:val="20"/>
              </w:rPr>
              <w:t>0</w:t>
            </w:r>
            <w:r w:rsidR="0094144A">
              <w:rPr>
                <w:rFonts w:ascii="Calibri" w:hAnsi="Calibri" w:cs="Arial"/>
                <w:sz w:val="20"/>
                <w:szCs w:val="20"/>
              </w:rPr>
              <w:t>3</w:t>
            </w:r>
          </w:p>
        </w:tc>
        <w:tc>
          <w:tcPr>
            <w:tcW w:w="1804" w:type="pct"/>
          </w:tcPr>
          <w:p w:rsidRPr="002E6BBA" w:rsidR="00701F2C" w:rsidP="00701F2C" w:rsidRDefault="00701F2C" w14:paraId="2BC1D018" w14:textId="32E99616">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4559064E" w14:textId="462F90A6">
            <w:pPr>
              <w:rPr>
                <w:rFonts w:cs="Arial"/>
              </w:rPr>
            </w:pPr>
            <w:r>
              <w:rPr>
                <w:rFonts w:ascii="Calibri" w:hAnsi="Calibri" w:cs="Arial"/>
                <w:sz w:val="20"/>
                <w:szCs w:val="20"/>
              </w:rPr>
              <w:t>June 2012</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00545F5D" w:rsidP="00701F2C" w:rsidRDefault="00701F2C" w14:paraId="30AE6EEF" w14:textId="594DD6E1">
            <w:pPr>
              <w:numPr>
                <w:ilvl w:val="0"/>
                <w:numId w:val="39"/>
              </w:numPr>
              <w:rPr>
                <w:rFonts w:cs="Arial"/>
                <w:sz w:val="20"/>
              </w:rPr>
            </w:pPr>
            <w:r>
              <w:rPr>
                <w:rFonts w:cs="Arial"/>
                <w:sz w:val="20"/>
              </w:rPr>
              <w:t>Minor amendment to Regulation 2</w:t>
            </w:r>
            <w:r w:rsidR="0094144A">
              <w:rPr>
                <w:rFonts w:cs="Arial"/>
                <w:sz w:val="20"/>
              </w:rPr>
              <w:t>6</w:t>
            </w:r>
            <w:r>
              <w:rPr>
                <w:rFonts w:cs="Arial"/>
                <w:sz w:val="20"/>
              </w:rPr>
              <w:t xml:space="preserve"> (e) for clarity.</w:t>
            </w:r>
          </w:p>
          <w:p w:rsidRPr="00545F5D" w:rsidR="00701F2C" w:rsidP="00701F2C" w:rsidRDefault="00701F2C" w14:paraId="0353B329" w14:textId="7B96F269">
            <w:pPr>
              <w:numPr>
                <w:ilvl w:val="0"/>
                <w:numId w:val="39"/>
              </w:numPr>
              <w:rPr>
                <w:rFonts w:cs="Arial"/>
                <w:sz w:val="20"/>
              </w:rPr>
            </w:pPr>
            <w:r w:rsidRPr="00545F5D">
              <w:rPr>
                <w:rFonts w:cs="Arial"/>
                <w:sz w:val="20"/>
              </w:rPr>
              <w:t>Addition of an explanatory note (reg. 2</w:t>
            </w:r>
            <w:r w:rsidR="0094144A">
              <w:rPr>
                <w:rFonts w:cs="Arial"/>
                <w:sz w:val="20"/>
              </w:rPr>
              <w:t xml:space="preserve">6 </w:t>
            </w:r>
            <w:r w:rsidRPr="00545F5D">
              <w:rPr>
                <w:rFonts w:cs="Arial"/>
                <w:sz w:val="20"/>
              </w:rPr>
              <w:t>(e)) to clarify the circumstances under which a Mitigating Circumstances Committee would recommend to the Module Board: (i) a fresh attempt; (ii) refer the matter to the Programme Board; or (iii) award a ‘pass with mitigation’.</w:t>
            </w:r>
          </w:p>
        </w:tc>
      </w:tr>
      <w:tr w:rsidRPr="002E6BBA" w:rsidR="00701F2C" w:rsidTr="00715E8B" w14:paraId="4E1B788A" w14:textId="77777777">
        <w:tc>
          <w:tcPr>
            <w:tcW w:w="572" w:type="pct"/>
          </w:tcPr>
          <w:p w:rsidRPr="002E6BBA" w:rsidR="00701F2C" w:rsidP="00EB6FCD" w:rsidRDefault="00701F2C" w14:paraId="2FAEAA89" w14:textId="2558A2DB">
            <w:pPr>
              <w:rPr>
                <w:rFonts w:cs="Arial"/>
              </w:rPr>
            </w:pPr>
            <w:r w:rsidRPr="00D32FF7">
              <w:t>2 02</w:t>
            </w:r>
          </w:p>
        </w:tc>
        <w:tc>
          <w:tcPr>
            <w:tcW w:w="1804" w:type="pct"/>
          </w:tcPr>
          <w:p w:rsidRPr="00545F5D" w:rsidR="00701F2C" w:rsidP="00EB6FCD" w:rsidRDefault="00701F2C" w14:paraId="5AD115E5" w14:textId="546C6421">
            <w:pPr>
              <w:rPr>
                <w:rFonts w:cs="Arial"/>
                <w:sz w:val="20"/>
                <w:szCs w:val="20"/>
              </w:rPr>
            </w:pPr>
            <w:r w:rsidRPr="00545F5D">
              <w:rPr>
                <w:rFonts w:cstheme="minorHAnsi"/>
                <w:sz w:val="20"/>
                <w:szCs w:val="20"/>
              </w:rPr>
              <w:t>Quality Manager, Learning, Enhancement and Academic Practice (LEAP)</w:t>
            </w:r>
          </w:p>
        </w:tc>
        <w:tc>
          <w:tcPr>
            <w:tcW w:w="984" w:type="pct"/>
          </w:tcPr>
          <w:p w:rsidRPr="00545F5D" w:rsidR="00701F2C" w:rsidP="00EB6FCD" w:rsidRDefault="00701F2C" w14:paraId="2241E103" w14:textId="5D4A2525">
            <w:pPr>
              <w:rPr>
                <w:rFonts w:cs="Arial"/>
                <w:sz w:val="20"/>
                <w:szCs w:val="20"/>
              </w:rPr>
            </w:pPr>
            <w:r w:rsidRPr="00545F5D">
              <w:rPr>
                <w:sz w:val="20"/>
                <w:szCs w:val="20"/>
              </w:rPr>
              <w:t>March 2012, Senate</w:t>
            </w:r>
          </w:p>
        </w:tc>
        <w:tc>
          <w:tcPr>
            <w:tcW w:w="1640" w:type="pct"/>
          </w:tcPr>
          <w:p w:rsidRPr="0094144A" w:rsidR="0094144A" w:rsidP="0094144A" w:rsidRDefault="00701F2C" w14:paraId="24258D60" w14:textId="77777777">
            <w:pPr>
              <w:pStyle w:val="ListParagraph"/>
              <w:numPr>
                <w:ilvl w:val="0"/>
                <w:numId w:val="48"/>
              </w:numPr>
              <w:rPr>
                <w:rStyle w:val="StyleHeading2StudentNameBlackChar"/>
                <w:rFonts w:asciiTheme="minorHAnsi" w:hAnsiTheme="minorHAnsi" w:eastAsiaTheme="minorEastAsia" w:cstheme="minorHAnsi"/>
                <w:sz w:val="20"/>
              </w:rPr>
            </w:pPr>
            <w:bookmarkStart w:name="_Toc142041785" w:id="42"/>
            <w:bookmarkStart w:name="_Toc145399701" w:id="43"/>
            <w:bookmarkStart w:name="_Toc145399763" w:id="44"/>
            <w:bookmarkStart w:name="_Toc173334306" w:id="45"/>
            <w:bookmarkStart w:name="_Toc173334343" w:id="46"/>
            <w:bookmarkStart w:name="_Toc173339535" w:id="47"/>
            <w:r w:rsidRPr="0094144A">
              <w:rPr>
                <w:rStyle w:val="StyleHeading2StudentNameBlackChar"/>
                <w:rFonts w:asciiTheme="minorHAnsi" w:hAnsiTheme="minorHAnsi" w:eastAsiaTheme="minorEastAsia" w:cstheme="minorHAnsi"/>
                <w:sz w:val="20"/>
              </w:rPr>
              <w:t>Removes the category of pass with distinction when referring only to module marks (reg. 2</w:t>
            </w:r>
            <w:r w:rsidRPr="0094144A" w:rsidR="0094144A">
              <w:rPr>
                <w:rStyle w:val="StyleHeading2StudentNameBlackChar"/>
                <w:rFonts w:asciiTheme="minorHAnsi" w:hAnsiTheme="minorHAnsi" w:eastAsiaTheme="minorEastAsia" w:cstheme="minorHAnsi"/>
                <w:sz w:val="20"/>
              </w:rPr>
              <w:t>5</w:t>
            </w:r>
            <w:r w:rsidRPr="0094144A">
              <w:rPr>
                <w:rStyle w:val="StyleHeading2StudentNameBlackChar"/>
                <w:rFonts w:asciiTheme="minorHAnsi" w:hAnsiTheme="minorHAnsi" w:eastAsiaTheme="minorEastAsia" w:cstheme="minorHAnsi"/>
                <w:sz w:val="20"/>
              </w:rPr>
              <w:t>).</w:t>
            </w:r>
            <w:bookmarkEnd w:id="42"/>
            <w:bookmarkEnd w:id="43"/>
            <w:bookmarkEnd w:id="44"/>
            <w:bookmarkEnd w:id="45"/>
            <w:bookmarkEnd w:id="46"/>
            <w:bookmarkEnd w:id="47"/>
          </w:p>
          <w:p w:rsidRPr="0094144A" w:rsidR="0094144A" w:rsidP="00EB6FCD" w:rsidRDefault="0094144A" w14:paraId="5461FC5E" w14:textId="4F383F5B">
            <w:pPr>
              <w:pStyle w:val="ListParagraph"/>
              <w:numPr>
                <w:ilvl w:val="0"/>
                <w:numId w:val="48"/>
              </w:numPr>
              <w:rPr>
                <w:rFonts w:asciiTheme="minorHAnsi" w:hAnsiTheme="minorHAnsi" w:cstheme="minorHAnsi"/>
                <w:color w:val="000000"/>
                <w:sz w:val="20"/>
                <w:szCs w:val="20"/>
                <w:lang w:eastAsia="en-US"/>
              </w:rPr>
            </w:pPr>
            <w:r w:rsidRPr="0094144A">
              <w:rPr>
                <w:rStyle w:val="StyleHeading2StudentNameBlackChar"/>
                <w:rFonts w:asciiTheme="minorHAnsi" w:hAnsiTheme="minorHAnsi" w:eastAsiaTheme="minorEastAsia" w:cstheme="minorHAnsi"/>
                <w:sz w:val="20"/>
              </w:rPr>
              <w:t>Amends Regulation 31(a) to reflect that each individual module mark shall be weighted relative to its credit value.</w:t>
            </w:r>
          </w:p>
        </w:tc>
      </w:tr>
      <w:tr w:rsidRPr="002E6BBA" w:rsidR="00701F2C" w:rsidTr="00715E8B" w14:paraId="5C718488" w14:textId="77777777">
        <w:tc>
          <w:tcPr>
            <w:tcW w:w="572" w:type="pct"/>
          </w:tcPr>
          <w:p w:rsidRPr="002E6BBA" w:rsidR="00701F2C" w:rsidP="00701F2C" w:rsidRDefault="00701F2C" w14:paraId="0EEC3089" w14:textId="473A6C90">
            <w:pPr>
              <w:rPr>
                <w:rFonts w:cs="Arial"/>
              </w:rPr>
            </w:pPr>
            <w:r w:rsidRPr="00645759">
              <w:rPr>
                <w:rFonts w:ascii="Calibri" w:hAnsi="Calibri" w:cs="Arial"/>
                <w:sz w:val="20"/>
                <w:szCs w:val="20"/>
              </w:rPr>
              <w:t xml:space="preserve">2 </w:t>
            </w:r>
            <w:r>
              <w:rPr>
                <w:rFonts w:ascii="Calibri" w:hAnsi="Calibri" w:cs="Arial"/>
                <w:sz w:val="20"/>
                <w:szCs w:val="20"/>
              </w:rPr>
              <w:t>01</w:t>
            </w:r>
          </w:p>
        </w:tc>
        <w:tc>
          <w:tcPr>
            <w:tcW w:w="1804" w:type="pct"/>
          </w:tcPr>
          <w:p w:rsidRPr="002E6BBA" w:rsidR="00701F2C" w:rsidP="00701F2C" w:rsidRDefault="00701F2C" w14:paraId="160EA88D" w14:textId="2763B924">
            <w:pPr>
              <w:rPr>
                <w:rFonts w:cs="Arial"/>
              </w:rPr>
            </w:pPr>
            <w:r w:rsidRPr="001B67A3">
              <w:rPr>
                <w:rFonts w:cstheme="minorHAnsi"/>
                <w:sz w:val="20"/>
                <w:szCs w:val="20"/>
              </w:rPr>
              <w:t>Quality Officer</w:t>
            </w:r>
          </w:p>
        </w:tc>
        <w:tc>
          <w:tcPr>
            <w:tcW w:w="984" w:type="pct"/>
          </w:tcPr>
          <w:p w:rsidRPr="002E6BBA" w:rsidR="00701F2C" w:rsidP="00701F2C" w:rsidRDefault="00701F2C" w14:paraId="4B64E637" w14:textId="37C25D71">
            <w:pPr>
              <w:rPr>
                <w:rFonts w:cs="Arial"/>
              </w:rPr>
            </w:pPr>
            <w:r>
              <w:rPr>
                <w:rFonts w:ascii="Calibri" w:hAnsi="Calibri" w:cs="Arial"/>
                <w:sz w:val="20"/>
                <w:szCs w:val="20"/>
              </w:rPr>
              <w:t>Oct 2010</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2E6BBA" w:rsidR="00701F2C" w:rsidP="00701F2C" w:rsidRDefault="00701F2C" w14:paraId="78E0A046" w14:textId="368776D7">
            <w:pPr>
              <w:rPr>
                <w:rFonts w:cs="Arial"/>
              </w:rPr>
            </w:pPr>
            <w:r w:rsidRPr="008F0515">
              <w:rPr>
                <w:rFonts w:cs="Arial"/>
                <w:sz w:val="20"/>
              </w:rPr>
              <w:t>Updates the code with reference to the new committee structure</w:t>
            </w:r>
            <w:r>
              <w:rPr>
                <w:rFonts w:cs="Arial"/>
                <w:sz w:val="20"/>
              </w:rPr>
              <w:t>.</w:t>
            </w:r>
          </w:p>
        </w:tc>
      </w:tr>
      <w:tr w:rsidRPr="002E6BBA" w:rsidR="00701F2C" w:rsidTr="00715E8B" w14:paraId="6A984E52" w14:textId="77777777">
        <w:tc>
          <w:tcPr>
            <w:tcW w:w="572" w:type="pct"/>
          </w:tcPr>
          <w:p w:rsidRPr="002E6BBA" w:rsidR="00701F2C" w:rsidP="00701F2C" w:rsidRDefault="00701F2C" w14:paraId="09F62CDA" w14:textId="05E6F831">
            <w:pPr>
              <w:rPr>
                <w:rFonts w:cs="Arial"/>
              </w:rPr>
            </w:pPr>
            <w:r w:rsidRPr="00645759">
              <w:rPr>
                <w:rFonts w:ascii="Calibri" w:hAnsi="Calibri" w:cs="Arial"/>
                <w:sz w:val="20"/>
                <w:szCs w:val="20"/>
              </w:rPr>
              <w:t xml:space="preserve">2 </w:t>
            </w:r>
            <w:r>
              <w:rPr>
                <w:rFonts w:ascii="Calibri" w:hAnsi="Calibri" w:cs="Arial"/>
                <w:sz w:val="20"/>
                <w:szCs w:val="20"/>
              </w:rPr>
              <w:t>00</w:t>
            </w:r>
          </w:p>
        </w:tc>
        <w:tc>
          <w:tcPr>
            <w:tcW w:w="1804" w:type="pct"/>
          </w:tcPr>
          <w:p w:rsidRPr="002E6BBA" w:rsidR="00701F2C" w:rsidP="00701F2C" w:rsidRDefault="00701F2C" w14:paraId="442359B2" w14:textId="08CC1A5D">
            <w:pPr>
              <w:rPr>
                <w:rFonts w:cs="Arial"/>
              </w:rPr>
            </w:pPr>
            <w:r w:rsidRPr="001B67A3">
              <w:rPr>
                <w:rFonts w:cstheme="minorHAnsi"/>
                <w:sz w:val="20"/>
                <w:szCs w:val="20"/>
              </w:rPr>
              <w:t>Quality Officer</w:t>
            </w:r>
          </w:p>
        </w:tc>
        <w:tc>
          <w:tcPr>
            <w:tcW w:w="984" w:type="pct"/>
          </w:tcPr>
          <w:p w:rsidRPr="002E6BBA" w:rsidR="00701F2C" w:rsidP="00701F2C" w:rsidRDefault="00701F2C" w14:paraId="1B34EBD7" w14:textId="191C1BDB">
            <w:pPr>
              <w:rPr>
                <w:rFonts w:cs="Arial"/>
              </w:rPr>
            </w:pPr>
            <w:r>
              <w:rPr>
                <w:rFonts w:ascii="Calibri" w:hAnsi="Calibri" w:cs="Arial"/>
                <w:sz w:val="20"/>
                <w:szCs w:val="20"/>
              </w:rPr>
              <w:t>Oct 2009</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97759C" w:rsidR="00701F2C" w:rsidP="00701F2C" w:rsidRDefault="00701F2C" w14:paraId="666571A1" w14:textId="77777777">
            <w:pPr>
              <w:pStyle w:val="ListParagraph"/>
              <w:numPr>
                <w:ilvl w:val="0"/>
                <w:numId w:val="40"/>
              </w:numPr>
              <w:ind w:left="426" w:hanging="426"/>
              <w:rPr>
                <w:rFonts w:cs="Arial"/>
                <w:sz w:val="20"/>
              </w:rPr>
            </w:pPr>
            <w:r w:rsidRPr="0097759C">
              <w:rPr>
                <w:rFonts w:cs="Arial"/>
                <w:sz w:val="20"/>
              </w:rPr>
              <w:t xml:space="preserve">Re-orders the </w:t>
            </w:r>
            <w:r>
              <w:rPr>
                <w:rFonts w:cs="Arial"/>
                <w:sz w:val="20"/>
              </w:rPr>
              <w:t>Regulation</w:t>
            </w:r>
            <w:r w:rsidRPr="0097759C">
              <w:rPr>
                <w:rFonts w:cs="Arial"/>
                <w:sz w:val="20"/>
              </w:rPr>
              <w:t>s to better reflect the student lifecycle, beginning with programme and modules and moving from admissions through progression to notification of results</w:t>
            </w:r>
            <w:r>
              <w:rPr>
                <w:rFonts w:cs="Arial"/>
                <w:sz w:val="20"/>
              </w:rPr>
              <w:t>.</w:t>
            </w:r>
          </w:p>
          <w:p w:rsidRPr="0097759C" w:rsidR="00701F2C" w:rsidP="00701F2C" w:rsidRDefault="00701F2C" w14:paraId="5CC51BDB" w14:textId="77777777">
            <w:pPr>
              <w:pStyle w:val="ListParagraph"/>
              <w:numPr>
                <w:ilvl w:val="0"/>
                <w:numId w:val="40"/>
              </w:numPr>
              <w:ind w:left="426" w:hanging="426"/>
              <w:rPr>
                <w:rFonts w:cs="Arial"/>
                <w:sz w:val="20"/>
              </w:rPr>
            </w:pPr>
            <w:r w:rsidRPr="0097759C">
              <w:rPr>
                <w:rFonts w:cs="Arial"/>
                <w:sz w:val="20"/>
              </w:rPr>
              <w:lastRenderedPageBreak/>
              <w:t xml:space="preserve">Clarity of language throughout and </w:t>
            </w:r>
            <w:r w:rsidRPr="0097759C">
              <w:rPr>
                <w:rFonts w:eastAsia="Calibri" w:cs="Arial"/>
                <w:sz w:val="20"/>
              </w:rPr>
              <w:t xml:space="preserve">notes (which do not form part of the </w:t>
            </w:r>
            <w:r>
              <w:rPr>
                <w:rFonts w:eastAsia="Calibri" w:cs="Arial"/>
                <w:sz w:val="20"/>
              </w:rPr>
              <w:t>Regulation</w:t>
            </w:r>
            <w:r w:rsidRPr="0097759C">
              <w:rPr>
                <w:rFonts w:eastAsia="Calibri" w:cs="Arial"/>
                <w:sz w:val="20"/>
              </w:rPr>
              <w:t>s)</w:t>
            </w:r>
            <w:r>
              <w:rPr>
                <w:rFonts w:eastAsia="Calibri" w:cs="Arial"/>
                <w:sz w:val="20"/>
              </w:rPr>
              <w:t>.</w:t>
            </w:r>
          </w:p>
          <w:p w:rsidR="00545F5D" w:rsidP="00701F2C" w:rsidRDefault="00701F2C" w14:paraId="1C16144A" w14:textId="77777777">
            <w:pPr>
              <w:pStyle w:val="ListParagraph"/>
              <w:numPr>
                <w:ilvl w:val="0"/>
                <w:numId w:val="40"/>
              </w:numPr>
              <w:ind w:left="426" w:hanging="426"/>
              <w:rPr>
                <w:rFonts w:cs="Arial"/>
                <w:sz w:val="20"/>
              </w:rPr>
            </w:pPr>
            <w:r w:rsidRPr="0097759C">
              <w:rPr>
                <w:rFonts w:cs="Arial"/>
                <w:sz w:val="20"/>
              </w:rPr>
              <w:t>Removes references to the withdrawal of programmes and modules</w:t>
            </w:r>
            <w:r>
              <w:rPr>
                <w:rFonts w:cs="Arial"/>
                <w:sz w:val="20"/>
              </w:rPr>
              <w:t>.</w:t>
            </w:r>
          </w:p>
          <w:p w:rsidR="00701F2C" w:rsidP="00701F2C" w:rsidRDefault="00701F2C" w14:paraId="2F0EDE5D" w14:textId="77777777">
            <w:pPr>
              <w:pStyle w:val="ListParagraph"/>
              <w:numPr>
                <w:ilvl w:val="0"/>
                <w:numId w:val="40"/>
              </w:numPr>
              <w:ind w:left="426" w:hanging="426"/>
              <w:rPr>
                <w:rFonts w:cs="Arial"/>
                <w:sz w:val="20"/>
              </w:rPr>
            </w:pPr>
            <w:r w:rsidRPr="00545F5D">
              <w:rPr>
                <w:rFonts w:cs="Arial"/>
                <w:sz w:val="20"/>
              </w:rPr>
              <w:t>Clarifies the responsibilities of the Mitigating Circumstances Committees and the Module and Programme Boards (reg.2</w:t>
            </w:r>
            <w:r w:rsidR="0094144A">
              <w:rPr>
                <w:rFonts w:cs="Arial"/>
                <w:sz w:val="20"/>
              </w:rPr>
              <w:t>6</w:t>
            </w:r>
            <w:r w:rsidRPr="00545F5D">
              <w:rPr>
                <w:rFonts w:cs="Arial"/>
                <w:sz w:val="20"/>
              </w:rPr>
              <w:t>).</w:t>
            </w:r>
          </w:p>
          <w:p w:rsidRPr="00545F5D" w:rsidR="0094144A" w:rsidP="00701F2C" w:rsidRDefault="0094144A" w14:paraId="58485957" w14:textId="2BD6305C">
            <w:pPr>
              <w:pStyle w:val="ListParagraph"/>
              <w:numPr>
                <w:ilvl w:val="0"/>
                <w:numId w:val="40"/>
              </w:numPr>
              <w:ind w:left="426" w:hanging="426"/>
              <w:rPr>
                <w:rFonts w:cs="Arial"/>
                <w:sz w:val="20"/>
              </w:rPr>
            </w:pPr>
            <w:r w:rsidRPr="0094144A">
              <w:rPr>
                <w:rFonts w:cs="Arial"/>
                <w:sz w:val="20"/>
              </w:rPr>
              <w:t>Introduces condonement, comparable with Masters degrees (reg. 34).</w:t>
            </w:r>
          </w:p>
        </w:tc>
      </w:tr>
      <w:tr w:rsidRPr="002E6BBA" w:rsidR="00701F2C" w:rsidTr="00715E8B" w14:paraId="1E64FF67" w14:textId="77777777">
        <w:tc>
          <w:tcPr>
            <w:tcW w:w="572" w:type="pct"/>
          </w:tcPr>
          <w:p w:rsidRPr="002E6BBA" w:rsidR="00701F2C" w:rsidP="00701F2C" w:rsidRDefault="00701F2C" w14:paraId="62550658" w14:textId="74141B72">
            <w:pPr>
              <w:rPr>
                <w:rFonts w:cs="Arial"/>
              </w:rPr>
            </w:pPr>
            <w:r>
              <w:rPr>
                <w:rFonts w:ascii="Calibri" w:hAnsi="Calibri" w:cs="Arial"/>
              </w:rPr>
              <w:lastRenderedPageBreak/>
              <w:t>1 04</w:t>
            </w:r>
          </w:p>
        </w:tc>
        <w:tc>
          <w:tcPr>
            <w:tcW w:w="1804" w:type="pct"/>
          </w:tcPr>
          <w:p w:rsidRPr="002E6BBA" w:rsidR="00701F2C" w:rsidP="00701F2C" w:rsidRDefault="00701F2C" w14:paraId="72E15720" w14:textId="426DCD64">
            <w:pPr>
              <w:rPr>
                <w:rFonts w:cs="Arial"/>
              </w:rPr>
            </w:pPr>
            <w:r w:rsidRPr="001B67A3">
              <w:rPr>
                <w:rFonts w:cstheme="minorHAnsi"/>
                <w:sz w:val="20"/>
                <w:szCs w:val="20"/>
              </w:rPr>
              <w:t>Quality Officer</w:t>
            </w:r>
          </w:p>
        </w:tc>
        <w:tc>
          <w:tcPr>
            <w:tcW w:w="984" w:type="pct"/>
          </w:tcPr>
          <w:p w:rsidRPr="002E6BBA" w:rsidR="00701F2C" w:rsidP="00701F2C" w:rsidRDefault="00701F2C" w14:paraId="49D85BD0" w14:textId="096D3B3D">
            <w:pPr>
              <w:rPr>
                <w:rFonts w:cs="Arial"/>
              </w:rPr>
            </w:pPr>
            <w:r>
              <w:rPr>
                <w:rFonts w:ascii="Calibri" w:hAnsi="Calibri" w:cs="Arial"/>
                <w:sz w:val="20"/>
                <w:szCs w:val="20"/>
              </w:rPr>
              <w:t>March 2008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2E6BBA" w:rsidR="00701F2C" w:rsidP="00701F2C" w:rsidRDefault="00701F2C" w14:paraId="0C4717B4" w14:textId="3E8658B2">
            <w:pPr>
              <w:rPr>
                <w:rFonts w:cs="Arial"/>
              </w:rPr>
            </w:pPr>
            <w:r w:rsidRPr="0097759C">
              <w:rPr>
                <w:rFonts w:cs="Arial"/>
                <w:sz w:val="20"/>
              </w:rPr>
              <w:t>Amends the level requirements for a Graduate Certificate to require a maximum of 20 credits at level 5 (rather than level 3) in addition to a minimum of 40 credits at level 6 (reg. 21)</w:t>
            </w:r>
            <w:r>
              <w:rPr>
                <w:rFonts w:cs="Arial"/>
                <w:sz w:val="20"/>
              </w:rPr>
              <w:t>.</w:t>
            </w:r>
          </w:p>
        </w:tc>
      </w:tr>
      <w:tr w:rsidRPr="002E6BBA" w:rsidR="00701F2C" w:rsidTr="00715E8B" w14:paraId="746BBD19" w14:textId="77777777">
        <w:tc>
          <w:tcPr>
            <w:tcW w:w="572" w:type="pct"/>
          </w:tcPr>
          <w:p w:rsidRPr="002E6BBA" w:rsidR="00701F2C" w:rsidP="00701F2C" w:rsidRDefault="00701F2C" w14:paraId="23A6CFF0" w14:textId="43056DB8">
            <w:pPr>
              <w:rPr>
                <w:rFonts w:cs="Arial"/>
              </w:rPr>
            </w:pPr>
            <w:r>
              <w:rPr>
                <w:rFonts w:ascii="Calibri" w:hAnsi="Calibri" w:cs="Arial"/>
              </w:rPr>
              <w:t>1 03</w:t>
            </w:r>
          </w:p>
        </w:tc>
        <w:tc>
          <w:tcPr>
            <w:tcW w:w="1804" w:type="pct"/>
          </w:tcPr>
          <w:p w:rsidRPr="002E6BBA" w:rsidR="00701F2C" w:rsidP="00701F2C" w:rsidRDefault="00701F2C" w14:paraId="5183E288" w14:textId="424F0981">
            <w:pPr>
              <w:rPr>
                <w:rFonts w:cs="Arial"/>
              </w:rPr>
            </w:pPr>
            <w:r w:rsidRPr="001B67A3">
              <w:rPr>
                <w:rFonts w:cstheme="minorHAnsi"/>
                <w:sz w:val="20"/>
                <w:szCs w:val="20"/>
              </w:rPr>
              <w:t>Quality Officer</w:t>
            </w:r>
          </w:p>
        </w:tc>
        <w:tc>
          <w:tcPr>
            <w:tcW w:w="984" w:type="pct"/>
          </w:tcPr>
          <w:p w:rsidRPr="002E6BBA" w:rsidR="00701F2C" w:rsidP="00701F2C" w:rsidRDefault="00701F2C" w14:paraId="4B966C06" w14:textId="6D2C75A6">
            <w:pPr>
              <w:rPr>
                <w:rFonts w:cs="Arial"/>
              </w:rPr>
            </w:pPr>
            <w:r>
              <w:rPr>
                <w:rFonts w:ascii="Calibri" w:hAnsi="Calibri" w:cs="Arial"/>
                <w:sz w:val="20"/>
                <w:szCs w:val="20"/>
              </w:rPr>
              <w:t>March 2008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266CAC51" w14:textId="77777777">
            <w:pPr>
              <w:numPr>
                <w:ilvl w:val="0"/>
                <w:numId w:val="41"/>
              </w:numPr>
              <w:tabs>
                <w:tab w:val="clear" w:pos="1117"/>
                <w:tab w:val="num" w:pos="397"/>
              </w:tabs>
              <w:ind w:left="397"/>
              <w:jc w:val="both"/>
              <w:rPr>
                <w:rFonts w:cs="Arial"/>
                <w:sz w:val="20"/>
              </w:rPr>
            </w:pPr>
            <w:r w:rsidRPr="0097759C">
              <w:rPr>
                <w:rFonts w:cs="Arial"/>
                <w:sz w:val="20"/>
              </w:rPr>
              <w:t>Provides where a module specification requires all elements to be passed, the maximum mark to be awarded for the module in the event of an element being failed is 34 (reg. 6)</w:t>
            </w:r>
            <w:r>
              <w:rPr>
                <w:rFonts w:cs="Arial"/>
                <w:sz w:val="20"/>
              </w:rPr>
              <w:t>.</w:t>
            </w:r>
          </w:p>
          <w:p w:rsidRPr="00545F5D" w:rsidR="00701F2C" w:rsidP="00701F2C" w:rsidRDefault="00701F2C" w14:paraId="64BAFC3E" w14:textId="3AB3FFE4">
            <w:pPr>
              <w:numPr>
                <w:ilvl w:val="0"/>
                <w:numId w:val="41"/>
              </w:numPr>
              <w:tabs>
                <w:tab w:val="clear" w:pos="1117"/>
                <w:tab w:val="num" w:pos="397"/>
              </w:tabs>
              <w:ind w:left="397"/>
              <w:jc w:val="both"/>
              <w:rPr>
                <w:rFonts w:cs="Arial"/>
                <w:sz w:val="20"/>
              </w:rPr>
            </w:pPr>
            <w:r w:rsidRPr="00545F5D">
              <w:rPr>
                <w:rFonts w:cs="Arial"/>
                <w:sz w:val="20"/>
              </w:rPr>
              <w:t>Makes explicit reference in the Regulations to ‘pass with mitigation’ adopting the wording approved in the code of practice on boards of examiners (QH:D2) (reg. 6).</w:t>
            </w:r>
          </w:p>
        </w:tc>
      </w:tr>
      <w:tr w:rsidRPr="002E6BBA" w:rsidR="00701F2C" w:rsidTr="00715E8B" w14:paraId="4AB0F532" w14:textId="77777777">
        <w:tc>
          <w:tcPr>
            <w:tcW w:w="572" w:type="pct"/>
          </w:tcPr>
          <w:p w:rsidRPr="002E6BBA" w:rsidR="00701F2C" w:rsidP="00701F2C" w:rsidRDefault="00701F2C" w14:paraId="64425B78" w14:textId="17FD8FC1">
            <w:pPr>
              <w:rPr>
                <w:rFonts w:cs="Arial"/>
              </w:rPr>
            </w:pPr>
            <w:r>
              <w:rPr>
                <w:rFonts w:ascii="Calibri" w:hAnsi="Calibri" w:cs="Arial"/>
              </w:rPr>
              <w:t>1 02</w:t>
            </w:r>
          </w:p>
        </w:tc>
        <w:tc>
          <w:tcPr>
            <w:tcW w:w="1804" w:type="pct"/>
          </w:tcPr>
          <w:p w:rsidRPr="002E6BBA" w:rsidR="00701F2C" w:rsidP="00701F2C" w:rsidRDefault="00701F2C" w14:paraId="60BC004E" w14:textId="75809595">
            <w:pPr>
              <w:rPr>
                <w:rFonts w:cs="Arial"/>
              </w:rPr>
            </w:pPr>
            <w:r w:rsidRPr="001B67A3">
              <w:rPr>
                <w:rFonts w:cstheme="minorHAnsi"/>
                <w:sz w:val="20"/>
                <w:szCs w:val="20"/>
              </w:rPr>
              <w:t>Quality Officer</w:t>
            </w:r>
          </w:p>
        </w:tc>
        <w:tc>
          <w:tcPr>
            <w:tcW w:w="984" w:type="pct"/>
          </w:tcPr>
          <w:p w:rsidRPr="002E6BBA" w:rsidR="00701F2C" w:rsidP="00701F2C" w:rsidRDefault="00701F2C" w14:paraId="276497E3" w14:textId="60F7775A">
            <w:pPr>
              <w:rPr>
                <w:rFonts w:cs="Arial"/>
              </w:rPr>
            </w:pPr>
            <w:r>
              <w:rPr>
                <w:rFonts w:cs="Arial"/>
                <w:sz w:val="20"/>
              </w:rPr>
              <w:t>I</w:t>
            </w:r>
            <w:r w:rsidRPr="0097759C">
              <w:rPr>
                <w:rFonts w:cs="Arial"/>
                <w:sz w:val="20"/>
              </w:rPr>
              <w:t>n force Sep 07</w:t>
            </w:r>
            <w:r>
              <w:rPr>
                <w:rFonts w:cs="Arial"/>
                <w:sz w:val="20"/>
              </w:rPr>
              <w:t xml:space="preserve">, </w:t>
            </w:r>
            <w:r>
              <w:rPr>
                <w:rFonts w:ascii="Calibri" w:hAnsi="Calibri" w:cs="Arial"/>
                <w:sz w:val="20"/>
                <w:szCs w:val="20"/>
              </w:rPr>
              <w:t>Senate</w:t>
            </w:r>
          </w:p>
        </w:tc>
        <w:tc>
          <w:tcPr>
            <w:tcW w:w="1640" w:type="pct"/>
          </w:tcPr>
          <w:p w:rsidR="0094144A" w:rsidP="0094144A" w:rsidRDefault="0094144A" w14:paraId="77C81FBB" w14:textId="77777777">
            <w:pPr>
              <w:pStyle w:val="ListParagraph"/>
              <w:numPr>
                <w:ilvl w:val="0"/>
                <w:numId w:val="49"/>
              </w:numPr>
              <w:rPr>
                <w:rFonts w:cs="Arial"/>
                <w:sz w:val="20"/>
              </w:rPr>
            </w:pPr>
            <w:r w:rsidRPr="0094144A">
              <w:rPr>
                <w:rFonts w:cs="Arial"/>
                <w:sz w:val="20"/>
              </w:rPr>
              <w:t>Recognising the award of the Graduate Diploma [an Honours level award] (regs. 22(d), 24, and 26).</w:t>
            </w:r>
          </w:p>
          <w:p w:rsidR="0094144A" w:rsidP="0094144A" w:rsidRDefault="0094144A" w14:paraId="2219CB91" w14:textId="77777777">
            <w:pPr>
              <w:pStyle w:val="ListParagraph"/>
              <w:numPr>
                <w:ilvl w:val="0"/>
                <w:numId w:val="49"/>
              </w:numPr>
              <w:rPr>
                <w:rFonts w:cs="Arial"/>
                <w:sz w:val="20"/>
              </w:rPr>
            </w:pPr>
            <w:r w:rsidRPr="0094144A">
              <w:rPr>
                <w:rFonts w:cs="Arial"/>
                <w:sz w:val="20"/>
              </w:rPr>
              <w:t>Replacing reference to Unfair Means code to reference to Regulations (reg. 7).</w:t>
            </w:r>
          </w:p>
          <w:p w:rsidR="0094144A" w:rsidP="0094144A" w:rsidRDefault="0094144A" w14:paraId="2A5780B3" w14:textId="77777777">
            <w:pPr>
              <w:pStyle w:val="ListParagraph"/>
              <w:numPr>
                <w:ilvl w:val="0"/>
                <w:numId w:val="49"/>
              </w:numPr>
              <w:rPr>
                <w:rFonts w:cs="Arial"/>
                <w:sz w:val="20"/>
              </w:rPr>
            </w:pPr>
            <w:r w:rsidRPr="0094144A">
              <w:rPr>
                <w:rFonts w:cs="Arial"/>
                <w:sz w:val="20"/>
              </w:rPr>
              <w:t>Revising the evidential requirements following intercalation on grounds of risk (reg. 29).</w:t>
            </w:r>
          </w:p>
          <w:p w:rsidR="0094144A" w:rsidP="0094144A" w:rsidRDefault="0094144A" w14:paraId="0EF5DBB0" w14:textId="77777777">
            <w:pPr>
              <w:pStyle w:val="ListParagraph"/>
              <w:numPr>
                <w:ilvl w:val="0"/>
                <w:numId w:val="49"/>
              </w:numPr>
              <w:rPr>
                <w:rFonts w:cs="Arial"/>
                <w:sz w:val="20"/>
              </w:rPr>
            </w:pPr>
            <w:r w:rsidRPr="0094144A">
              <w:rPr>
                <w:rFonts w:cs="Arial"/>
                <w:sz w:val="20"/>
              </w:rPr>
              <w:t>Replacing references to Graduate Research Committee with Research Degrees Committee.</w:t>
            </w:r>
          </w:p>
          <w:p w:rsidRPr="0094144A" w:rsidR="0094144A" w:rsidP="0094144A" w:rsidRDefault="0094144A" w14:paraId="5923BA5A" w14:textId="74709FEF">
            <w:pPr>
              <w:pStyle w:val="ListParagraph"/>
              <w:numPr>
                <w:ilvl w:val="0"/>
                <w:numId w:val="49"/>
              </w:numPr>
              <w:rPr>
                <w:rFonts w:cs="Arial"/>
                <w:sz w:val="20"/>
              </w:rPr>
            </w:pPr>
            <w:r w:rsidRPr="0094144A">
              <w:rPr>
                <w:rFonts w:cs="Arial"/>
                <w:sz w:val="20"/>
              </w:rPr>
              <w:lastRenderedPageBreak/>
              <w:t>Removing references to Academic Approvals Committee, replaced by Programme Approvals Monitoring and Enhancement Committee (PAMEC).</w:t>
            </w:r>
          </w:p>
        </w:tc>
      </w:tr>
      <w:tr w:rsidRPr="002E6BBA" w:rsidR="00701F2C" w:rsidTr="00715E8B" w14:paraId="4A0E8E12" w14:textId="77777777">
        <w:tc>
          <w:tcPr>
            <w:tcW w:w="572" w:type="pct"/>
          </w:tcPr>
          <w:p w:rsidR="00701F2C" w:rsidP="00701F2C" w:rsidRDefault="00701F2C" w14:paraId="4556E95D" w14:textId="52550044">
            <w:pPr>
              <w:rPr>
                <w:rFonts w:ascii="Calibri" w:hAnsi="Calibri" w:cs="Arial"/>
              </w:rPr>
            </w:pPr>
            <w:r>
              <w:rPr>
                <w:rFonts w:ascii="Calibri" w:hAnsi="Calibri" w:cs="Arial"/>
              </w:rPr>
              <w:lastRenderedPageBreak/>
              <w:t>1 01</w:t>
            </w:r>
          </w:p>
        </w:tc>
        <w:tc>
          <w:tcPr>
            <w:tcW w:w="1804" w:type="pct"/>
          </w:tcPr>
          <w:p w:rsidRPr="001B67A3" w:rsidR="00701F2C" w:rsidP="00701F2C" w:rsidRDefault="00701F2C" w14:paraId="324377FE" w14:textId="21F8237F">
            <w:pPr>
              <w:rPr>
                <w:rFonts w:cstheme="minorHAnsi"/>
                <w:sz w:val="20"/>
                <w:szCs w:val="20"/>
              </w:rPr>
            </w:pPr>
            <w:r w:rsidRPr="001B67A3">
              <w:rPr>
                <w:rFonts w:cstheme="minorHAnsi"/>
                <w:sz w:val="20"/>
                <w:szCs w:val="20"/>
              </w:rPr>
              <w:t>Quality Officer</w:t>
            </w:r>
          </w:p>
        </w:tc>
        <w:tc>
          <w:tcPr>
            <w:tcW w:w="984" w:type="pct"/>
          </w:tcPr>
          <w:p w:rsidR="00701F2C" w:rsidP="00701F2C" w:rsidRDefault="00701F2C" w14:paraId="615F11A1" w14:textId="47767D1A">
            <w:pPr>
              <w:rPr>
                <w:rFonts w:cs="Arial"/>
                <w:sz w:val="20"/>
              </w:rPr>
            </w:pPr>
            <w:r>
              <w:rPr>
                <w:rFonts w:cs="Arial"/>
                <w:sz w:val="20"/>
              </w:rPr>
              <w:t>July</w:t>
            </w:r>
            <w:r w:rsidRPr="0097759C">
              <w:rPr>
                <w:rFonts w:cs="Arial"/>
                <w:sz w:val="20"/>
              </w:rPr>
              <w:t xml:space="preserve"> 0</w:t>
            </w:r>
            <w:r>
              <w:rPr>
                <w:rFonts w:cs="Arial"/>
                <w:sz w:val="20"/>
              </w:rPr>
              <w:t xml:space="preserve">6, </w:t>
            </w:r>
            <w:r>
              <w:rPr>
                <w:rFonts w:ascii="Calibri" w:hAnsi="Calibri" w:cs="Arial"/>
                <w:sz w:val="20"/>
                <w:szCs w:val="20"/>
              </w:rPr>
              <w:t>Senate</w:t>
            </w:r>
          </w:p>
        </w:tc>
        <w:tc>
          <w:tcPr>
            <w:tcW w:w="1640" w:type="pct"/>
          </w:tcPr>
          <w:p w:rsidR="0094144A" w:rsidP="0094144A" w:rsidRDefault="0094144A" w14:paraId="2F6D0E9B" w14:textId="77777777">
            <w:pPr>
              <w:pStyle w:val="ListParagraph"/>
              <w:numPr>
                <w:ilvl w:val="0"/>
                <w:numId w:val="50"/>
              </w:numPr>
              <w:rPr>
                <w:rFonts w:cs="Arial"/>
                <w:sz w:val="20"/>
              </w:rPr>
            </w:pPr>
            <w:r w:rsidRPr="0094144A">
              <w:rPr>
                <w:rFonts w:cs="Arial"/>
                <w:sz w:val="20"/>
              </w:rPr>
              <w:t>Change of pass mark (but not of the academic standard required to achieve a pass) – excluding Business School programmes (reg. 6a and 32).</w:t>
            </w:r>
          </w:p>
          <w:p w:rsidRPr="0094144A" w:rsidR="00701F2C" w:rsidP="0094144A" w:rsidRDefault="0094144A" w14:paraId="17343CD6" w14:textId="5C3D1C21">
            <w:pPr>
              <w:pStyle w:val="ListParagraph"/>
              <w:numPr>
                <w:ilvl w:val="0"/>
                <w:numId w:val="50"/>
              </w:numPr>
              <w:rPr>
                <w:rFonts w:cs="Arial"/>
                <w:sz w:val="20"/>
              </w:rPr>
            </w:pPr>
            <w:r w:rsidRPr="0094144A">
              <w:rPr>
                <w:rFonts w:cs="Arial"/>
                <w:sz w:val="20"/>
              </w:rPr>
              <w:t>Definition of compensation (regs. 6(b) and 32).</w:t>
            </w:r>
          </w:p>
        </w:tc>
      </w:tr>
      <w:tr w:rsidRPr="002E6BBA" w:rsidR="00701F2C" w:rsidTr="00715E8B" w14:paraId="416DC86C" w14:textId="77777777">
        <w:tc>
          <w:tcPr>
            <w:tcW w:w="572" w:type="pct"/>
          </w:tcPr>
          <w:p w:rsidR="00701F2C" w:rsidP="00701F2C" w:rsidRDefault="00701F2C" w14:paraId="2AC68BDB" w14:textId="47175BD6">
            <w:pPr>
              <w:rPr>
                <w:rFonts w:ascii="Calibri" w:hAnsi="Calibri" w:cs="Arial"/>
              </w:rPr>
            </w:pPr>
            <w:r>
              <w:rPr>
                <w:rFonts w:ascii="Calibri" w:hAnsi="Calibri" w:cs="Arial"/>
              </w:rPr>
              <w:t>1 00</w:t>
            </w:r>
          </w:p>
        </w:tc>
        <w:tc>
          <w:tcPr>
            <w:tcW w:w="1804" w:type="pct"/>
          </w:tcPr>
          <w:p w:rsidRPr="001B67A3" w:rsidR="00701F2C" w:rsidP="00701F2C" w:rsidRDefault="00701F2C" w14:paraId="1DF0101A" w14:textId="662AFD0D">
            <w:pPr>
              <w:rPr>
                <w:rFonts w:cstheme="minorHAnsi"/>
                <w:sz w:val="20"/>
                <w:szCs w:val="20"/>
              </w:rPr>
            </w:pPr>
            <w:r w:rsidRPr="001B67A3">
              <w:rPr>
                <w:rFonts w:cstheme="minorHAnsi"/>
                <w:sz w:val="20"/>
                <w:szCs w:val="20"/>
              </w:rPr>
              <w:t>Quality Officer</w:t>
            </w:r>
          </w:p>
        </w:tc>
        <w:tc>
          <w:tcPr>
            <w:tcW w:w="984" w:type="pct"/>
          </w:tcPr>
          <w:p w:rsidR="00701F2C" w:rsidP="00701F2C" w:rsidRDefault="00701F2C" w14:paraId="1DA66A1F" w14:textId="1A3AD389">
            <w:pPr>
              <w:rPr>
                <w:rFonts w:cs="Arial"/>
                <w:sz w:val="20"/>
              </w:rPr>
            </w:pPr>
            <w:r>
              <w:rPr>
                <w:rFonts w:cs="Arial"/>
                <w:sz w:val="20"/>
              </w:rPr>
              <w:t xml:space="preserve">July 2004, </w:t>
            </w:r>
            <w:r>
              <w:rPr>
                <w:rFonts w:ascii="Calibri" w:hAnsi="Calibri" w:cs="Arial"/>
                <w:sz w:val="20"/>
                <w:szCs w:val="20"/>
              </w:rPr>
              <w:t>Senate</w:t>
            </w:r>
          </w:p>
        </w:tc>
        <w:tc>
          <w:tcPr>
            <w:tcW w:w="1640" w:type="pct"/>
          </w:tcPr>
          <w:p w:rsidRPr="0097759C" w:rsidR="00701F2C" w:rsidP="00545F5D" w:rsidRDefault="00701F2C" w14:paraId="1441F557" w14:textId="79318C37">
            <w:pPr>
              <w:rPr>
                <w:rFonts w:cs="Arial"/>
                <w:sz w:val="20"/>
              </w:rPr>
            </w:pPr>
            <w:r w:rsidRPr="00490DDD">
              <w:rPr>
                <w:rFonts w:ascii="Calibri" w:hAnsi="Calibri" w:cs="Arial"/>
                <w:sz w:val="20"/>
                <w:szCs w:val="20"/>
              </w:rPr>
              <w:t xml:space="preserve">Revised regulations governing Taught Postgraduate </w:t>
            </w:r>
            <w:r w:rsidR="0094144A">
              <w:rPr>
                <w:rFonts w:ascii="Calibri" w:hAnsi="Calibri" w:cs="Arial"/>
                <w:sz w:val="20"/>
                <w:szCs w:val="20"/>
              </w:rPr>
              <w:t xml:space="preserve">Diplomas </w:t>
            </w:r>
            <w:r w:rsidRPr="00490DDD">
              <w:rPr>
                <w:rFonts w:ascii="Calibri" w:hAnsi="Calibri" w:cs="Arial"/>
                <w:sz w:val="20"/>
                <w:szCs w:val="20"/>
              </w:rPr>
              <w:t xml:space="preserve">incorporating changes required to reflect external expectations and internal requirements. These regulations apply only where the candidate is initially registered for the </w:t>
            </w:r>
            <w:r w:rsidR="0094144A">
              <w:rPr>
                <w:rFonts w:ascii="Calibri" w:hAnsi="Calibri" w:cs="Arial"/>
                <w:sz w:val="20"/>
                <w:szCs w:val="20"/>
              </w:rPr>
              <w:t>Diploma</w:t>
            </w:r>
            <w:r w:rsidRPr="00490DDD">
              <w:rPr>
                <w:rFonts w:ascii="Calibri" w:hAnsi="Calibri" w:cs="Arial"/>
                <w:sz w:val="20"/>
                <w:szCs w:val="20"/>
              </w:rPr>
              <w:t>. Chapter VIII applies to candidates registering for the Masters degree at the outset.</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3C0E6DCC"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97395">
          <w:rPr>
            <w:color w:val="0E1647"/>
            <w:sz w:val="20"/>
            <w:szCs w:val="20"/>
          </w:rPr>
          <w:t>2 17</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0079AA">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rPr>
          <w:sz w:val="18"/>
          <w:szCs w:val="18"/>
        </w:rPr>
      </w:sdtEndPr>
      <w:sdtContent>
        <w:r w:rsidR="000079AA">
          <w:rPr>
            <w:color w:val="0E1647"/>
            <w:sz w:val="20"/>
            <w:szCs w:val="20"/>
          </w:rPr>
          <w:t>19 June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A3A08"/>
    <w:multiLevelType w:val="hybridMultilevel"/>
    <w:tmpl w:val="018A6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D1DA6"/>
    <w:multiLevelType w:val="hybridMultilevel"/>
    <w:tmpl w:val="21529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97E514F"/>
    <w:multiLevelType w:val="hybridMultilevel"/>
    <w:tmpl w:val="209EB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6D6C38"/>
    <w:multiLevelType w:val="hybridMultilevel"/>
    <w:tmpl w:val="DE363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D707D7"/>
    <w:multiLevelType w:val="hybridMultilevel"/>
    <w:tmpl w:val="D9820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376937"/>
    <w:multiLevelType w:val="hybridMultilevel"/>
    <w:tmpl w:val="7F96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D2720"/>
    <w:multiLevelType w:val="hybridMultilevel"/>
    <w:tmpl w:val="6C624E62"/>
    <w:lvl w:ilvl="0" w:tplc="08090001">
      <w:start w:val="1"/>
      <w:numFmt w:val="bullet"/>
      <w:lvlText w:val=""/>
      <w:lvlJc w:val="left"/>
      <w:pPr>
        <w:tabs>
          <w:tab w:val="num" w:pos="1117"/>
        </w:tabs>
        <w:ind w:left="1117" w:hanging="397"/>
      </w:pPr>
      <w:rPr>
        <w:rFonts w:ascii="Symbol" w:hAnsi="Symbol" w:hint="default"/>
      </w:rPr>
    </w:lvl>
    <w:lvl w:ilvl="1" w:tplc="60C4D632">
      <w:start w:val="1"/>
      <w:numFmt w:val="bullet"/>
      <w:lvlText w:val=""/>
      <w:lvlJc w:val="left"/>
      <w:pPr>
        <w:tabs>
          <w:tab w:val="num" w:pos="2254"/>
        </w:tabs>
        <w:ind w:left="2254" w:hanging="454"/>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DA325D"/>
    <w:multiLevelType w:val="hybridMultilevel"/>
    <w:tmpl w:val="8F066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3B0A57"/>
    <w:multiLevelType w:val="hybridMultilevel"/>
    <w:tmpl w:val="C0C4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2B355B83"/>
    <w:multiLevelType w:val="hybridMultilevel"/>
    <w:tmpl w:val="12A6E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321904"/>
    <w:multiLevelType w:val="hybridMultilevel"/>
    <w:tmpl w:val="D496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2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54ED4"/>
    <w:multiLevelType w:val="hybridMultilevel"/>
    <w:tmpl w:val="D138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DC0167"/>
    <w:multiLevelType w:val="hybridMultilevel"/>
    <w:tmpl w:val="03C4C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BA5395"/>
    <w:multiLevelType w:val="hybridMultilevel"/>
    <w:tmpl w:val="9EA23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B14DF1"/>
    <w:multiLevelType w:val="hybridMultilevel"/>
    <w:tmpl w:val="C9D81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583103"/>
    <w:multiLevelType w:val="hybridMultilevel"/>
    <w:tmpl w:val="ECC01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4D2F97"/>
    <w:multiLevelType w:val="hybridMultilevel"/>
    <w:tmpl w:val="BC906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5F643D"/>
    <w:multiLevelType w:val="hybridMultilevel"/>
    <w:tmpl w:val="AB22D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cs="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cs="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cs="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40" w15:restartNumberingAfterBreak="0">
    <w:nsid w:val="733A48D2"/>
    <w:multiLevelType w:val="hybridMultilevel"/>
    <w:tmpl w:val="F08CB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42"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43" w15:restartNumberingAfterBreak="0">
    <w:nsid w:val="7C674B46"/>
    <w:multiLevelType w:val="hybridMultilevel"/>
    <w:tmpl w:val="B4300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29"/>
  </w:num>
  <w:num w:numId="2" w16cid:durableId="43870287">
    <w:abstractNumId w:val="30"/>
  </w:num>
  <w:num w:numId="3" w16cid:durableId="941954303">
    <w:abstractNumId w:val="38"/>
  </w:num>
  <w:num w:numId="4" w16cid:durableId="524560203">
    <w:abstractNumId w:val="0"/>
  </w:num>
  <w:num w:numId="5" w16cid:durableId="1627469934">
    <w:abstractNumId w:val="2"/>
  </w:num>
  <w:num w:numId="6" w16cid:durableId="680661117">
    <w:abstractNumId w:val="32"/>
  </w:num>
  <w:num w:numId="7" w16cid:durableId="618489342">
    <w:abstractNumId w:val="42"/>
  </w:num>
  <w:num w:numId="8" w16cid:durableId="38600704">
    <w:abstractNumId w:val="22"/>
  </w:num>
  <w:num w:numId="9" w16cid:durableId="196748008">
    <w:abstractNumId w:val="36"/>
  </w:num>
  <w:num w:numId="10" w16cid:durableId="674041465">
    <w:abstractNumId w:val="19"/>
  </w:num>
  <w:num w:numId="11" w16cid:durableId="1829788642">
    <w:abstractNumId w:val="18"/>
  </w:num>
  <w:num w:numId="12" w16cid:durableId="1614629240">
    <w:abstractNumId w:val="10"/>
  </w:num>
  <w:num w:numId="13" w16cid:durableId="615139952">
    <w:abstractNumId w:val="44"/>
  </w:num>
  <w:num w:numId="14" w16cid:durableId="16354802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24"/>
  </w:num>
  <w:num w:numId="16" w16cid:durableId="1969389182">
    <w:abstractNumId w:val="7"/>
  </w:num>
  <w:num w:numId="17" w16cid:durableId="181824227">
    <w:abstractNumId w:val="21"/>
  </w:num>
  <w:num w:numId="18" w16cid:durableId="464158055">
    <w:abstractNumId w:val="4"/>
  </w:num>
  <w:num w:numId="19" w16cid:durableId="1785808961">
    <w:abstractNumId w:val="41"/>
  </w:num>
  <w:num w:numId="20" w16cid:durableId="14176298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5"/>
  </w:num>
  <w:num w:numId="23" w16cid:durableId="1199854616">
    <w:abstractNumId w:val="45"/>
  </w:num>
  <w:num w:numId="24" w16cid:durableId="2128428633">
    <w:abstractNumId w:val="16"/>
  </w:num>
  <w:num w:numId="25" w16cid:durableId="1281495573">
    <w:abstractNumId w:val="37"/>
  </w:num>
  <w:num w:numId="26" w16cid:durableId="121654258">
    <w:abstractNumId w:val="23"/>
  </w:num>
  <w:num w:numId="27" w16cid:durableId="195434652">
    <w:abstractNumId w:val="23"/>
  </w:num>
  <w:num w:numId="28" w16cid:durableId="1405839555">
    <w:abstractNumId w:val="25"/>
  </w:num>
  <w:num w:numId="29" w16cid:durableId="1705057958">
    <w:abstractNumId w:val="9"/>
  </w:num>
  <w:num w:numId="30" w16cid:durableId="394624173">
    <w:abstractNumId w:val="34"/>
  </w:num>
  <w:num w:numId="31" w16cid:durableId="1961836910">
    <w:abstractNumId w:val="15"/>
  </w:num>
  <w:num w:numId="32" w16cid:durableId="259871251">
    <w:abstractNumId w:val="31"/>
  </w:num>
  <w:num w:numId="33" w16cid:durableId="921912481">
    <w:abstractNumId w:val="14"/>
  </w:num>
  <w:num w:numId="34" w16cid:durableId="100031897">
    <w:abstractNumId w:val="3"/>
  </w:num>
  <w:num w:numId="35" w16cid:durableId="1472282811">
    <w:abstractNumId w:val="43"/>
  </w:num>
  <w:num w:numId="36" w16cid:durableId="1632981667">
    <w:abstractNumId w:val="8"/>
  </w:num>
  <w:num w:numId="37" w16cid:durableId="466437287">
    <w:abstractNumId w:val="27"/>
  </w:num>
  <w:num w:numId="38" w16cid:durableId="1923879292">
    <w:abstractNumId w:val="35"/>
  </w:num>
  <w:num w:numId="39" w16cid:durableId="1395816127">
    <w:abstractNumId w:val="39"/>
  </w:num>
  <w:num w:numId="40" w16cid:durableId="1305620328">
    <w:abstractNumId w:val="12"/>
  </w:num>
  <w:num w:numId="41" w16cid:durableId="726224732">
    <w:abstractNumId w:val="13"/>
  </w:num>
  <w:num w:numId="42" w16cid:durableId="854541861">
    <w:abstractNumId w:val="40"/>
  </w:num>
  <w:num w:numId="43" w16cid:durableId="1963920591">
    <w:abstractNumId w:val="6"/>
  </w:num>
  <w:num w:numId="44" w16cid:durableId="228852239">
    <w:abstractNumId w:val="17"/>
  </w:num>
  <w:num w:numId="45" w16cid:durableId="895553102">
    <w:abstractNumId w:val="1"/>
  </w:num>
  <w:num w:numId="46" w16cid:durableId="539825350">
    <w:abstractNumId w:val="20"/>
  </w:num>
  <w:num w:numId="47" w16cid:durableId="1950549223">
    <w:abstractNumId w:val="28"/>
  </w:num>
  <w:num w:numId="48" w16cid:durableId="330527414">
    <w:abstractNumId w:val="11"/>
  </w:num>
  <w:num w:numId="49" w16cid:durableId="1082986905">
    <w:abstractNumId w:val="33"/>
  </w:num>
  <w:num w:numId="50" w16cid:durableId="20001124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79AA"/>
    <w:rsid w:val="00012BE5"/>
    <w:rsid w:val="000268CE"/>
    <w:rsid w:val="000313B2"/>
    <w:rsid w:val="000367A6"/>
    <w:rsid w:val="00044ADB"/>
    <w:rsid w:val="000516BC"/>
    <w:rsid w:val="00051757"/>
    <w:rsid w:val="00064FA6"/>
    <w:rsid w:val="0006580E"/>
    <w:rsid w:val="0007234A"/>
    <w:rsid w:val="00074A6E"/>
    <w:rsid w:val="00075E62"/>
    <w:rsid w:val="00076638"/>
    <w:rsid w:val="00077D54"/>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383"/>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43318"/>
    <w:rsid w:val="00246692"/>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005AD"/>
    <w:rsid w:val="00317908"/>
    <w:rsid w:val="00320E0A"/>
    <w:rsid w:val="00325F9D"/>
    <w:rsid w:val="00353032"/>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664E5"/>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0DD6"/>
    <w:rsid w:val="005417F8"/>
    <w:rsid w:val="00542BCD"/>
    <w:rsid w:val="0054488A"/>
    <w:rsid w:val="00545B4C"/>
    <w:rsid w:val="00545F5D"/>
    <w:rsid w:val="005503CC"/>
    <w:rsid w:val="00561093"/>
    <w:rsid w:val="00562523"/>
    <w:rsid w:val="00562C6A"/>
    <w:rsid w:val="00563646"/>
    <w:rsid w:val="00567FA3"/>
    <w:rsid w:val="005713ED"/>
    <w:rsid w:val="00571D82"/>
    <w:rsid w:val="00574245"/>
    <w:rsid w:val="00580259"/>
    <w:rsid w:val="005819E2"/>
    <w:rsid w:val="00582BFE"/>
    <w:rsid w:val="00591267"/>
    <w:rsid w:val="00594F90"/>
    <w:rsid w:val="00596A96"/>
    <w:rsid w:val="00597395"/>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26A29"/>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2ED6"/>
    <w:rsid w:val="006C3E4E"/>
    <w:rsid w:val="006C57EC"/>
    <w:rsid w:val="006C7E54"/>
    <w:rsid w:val="006F062C"/>
    <w:rsid w:val="006F0F63"/>
    <w:rsid w:val="00701F2C"/>
    <w:rsid w:val="00704A3A"/>
    <w:rsid w:val="00704FE7"/>
    <w:rsid w:val="00705AE5"/>
    <w:rsid w:val="00706E65"/>
    <w:rsid w:val="00710A5C"/>
    <w:rsid w:val="00710D8B"/>
    <w:rsid w:val="007135AD"/>
    <w:rsid w:val="00715E8B"/>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2DBD"/>
    <w:rsid w:val="007D456D"/>
    <w:rsid w:val="007E5840"/>
    <w:rsid w:val="007E75AF"/>
    <w:rsid w:val="007F5E30"/>
    <w:rsid w:val="007F7863"/>
    <w:rsid w:val="008004F0"/>
    <w:rsid w:val="00801FFB"/>
    <w:rsid w:val="00812A45"/>
    <w:rsid w:val="00822365"/>
    <w:rsid w:val="0082393A"/>
    <w:rsid w:val="00832B78"/>
    <w:rsid w:val="00834348"/>
    <w:rsid w:val="0085777E"/>
    <w:rsid w:val="00874148"/>
    <w:rsid w:val="0087565F"/>
    <w:rsid w:val="008812A9"/>
    <w:rsid w:val="008A24D4"/>
    <w:rsid w:val="008A4E7F"/>
    <w:rsid w:val="008A6142"/>
    <w:rsid w:val="008D4541"/>
    <w:rsid w:val="008E79B5"/>
    <w:rsid w:val="008F2463"/>
    <w:rsid w:val="008F34C8"/>
    <w:rsid w:val="00916886"/>
    <w:rsid w:val="00927308"/>
    <w:rsid w:val="00930FB7"/>
    <w:rsid w:val="00936E32"/>
    <w:rsid w:val="0094144A"/>
    <w:rsid w:val="00944EE4"/>
    <w:rsid w:val="009500FF"/>
    <w:rsid w:val="009541B4"/>
    <w:rsid w:val="00955C59"/>
    <w:rsid w:val="00966661"/>
    <w:rsid w:val="0098217A"/>
    <w:rsid w:val="0098688D"/>
    <w:rsid w:val="00997382"/>
    <w:rsid w:val="009A2ACD"/>
    <w:rsid w:val="009A3345"/>
    <w:rsid w:val="009A3A7F"/>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3D9D"/>
    <w:rsid w:val="00A965E6"/>
    <w:rsid w:val="00AB02EF"/>
    <w:rsid w:val="00AB16CB"/>
    <w:rsid w:val="00AB5DF0"/>
    <w:rsid w:val="00AB5F7C"/>
    <w:rsid w:val="00AC50AE"/>
    <w:rsid w:val="00AC67C7"/>
    <w:rsid w:val="00AD62EF"/>
    <w:rsid w:val="00AE7249"/>
    <w:rsid w:val="00AF3CF5"/>
    <w:rsid w:val="00AF44A6"/>
    <w:rsid w:val="00AF48FB"/>
    <w:rsid w:val="00B01082"/>
    <w:rsid w:val="00B06A5B"/>
    <w:rsid w:val="00B1555C"/>
    <w:rsid w:val="00B2187D"/>
    <w:rsid w:val="00B230A8"/>
    <w:rsid w:val="00B23175"/>
    <w:rsid w:val="00B23C55"/>
    <w:rsid w:val="00B2407D"/>
    <w:rsid w:val="00B30933"/>
    <w:rsid w:val="00B31E6D"/>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4B5C"/>
    <w:rsid w:val="00B953D7"/>
    <w:rsid w:val="00B95BAD"/>
    <w:rsid w:val="00BA2431"/>
    <w:rsid w:val="00BA34E2"/>
    <w:rsid w:val="00BA3E7F"/>
    <w:rsid w:val="00BA6378"/>
    <w:rsid w:val="00BA6837"/>
    <w:rsid w:val="00BA6B87"/>
    <w:rsid w:val="00BB08BF"/>
    <w:rsid w:val="00BB7F66"/>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6266"/>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65ABD"/>
    <w:rsid w:val="00D71FB2"/>
    <w:rsid w:val="00D74202"/>
    <w:rsid w:val="00D74261"/>
    <w:rsid w:val="00D8391F"/>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B6FCD"/>
    <w:rsid w:val="00EC2CDE"/>
    <w:rsid w:val="00EC4B8F"/>
    <w:rsid w:val="00ED07D1"/>
    <w:rsid w:val="00ED39EB"/>
    <w:rsid w:val="00EE7735"/>
    <w:rsid w:val="00EF0854"/>
    <w:rsid w:val="00EF337D"/>
    <w:rsid w:val="00F01270"/>
    <w:rsid w:val="00F065A7"/>
    <w:rsid w:val="00F10E04"/>
    <w:rsid w:val="00F169A4"/>
    <w:rsid w:val="00F214D2"/>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A6797"/>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StyleHeading2StudentNameBlack">
    <w:name w:val="Style Heading 2Student Name + Black"/>
    <w:basedOn w:val="Heading2"/>
    <w:link w:val="StyleHeading2StudentNameBlackChar"/>
    <w:rsid w:val="00701F2C"/>
    <w:pPr>
      <w:keepNext w:val="0"/>
      <w:keepLines w:val="0"/>
      <w:numPr>
        <w:ilvl w:val="0"/>
        <w:numId w:val="0"/>
      </w:numPr>
      <w:spacing w:after="240" w:line="240" w:lineRule="auto"/>
      <w:ind w:left="680" w:hanging="680"/>
      <w:jc w:val="both"/>
    </w:pPr>
    <w:rPr>
      <w:rFonts w:ascii="Arial" w:eastAsia="Times New Roman" w:hAnsi="Arial" w:cs="Times New Roman"/>
      <w:color w:val="000000"/>
      <w:szCs w:val="20"/>
      <w:u w:val="none"/>
      <w:lang w:eastAsia="en-US"/>
    </w:rPr>
  </w:style>
  <w:style w:type="character" w:customStyle="1" w:styleId="StyleHeading2StudentNameBlackChar">
    <w:name w:val="Style Heading 2Student Name + Black Char"/>
    <w:basedOn w:val="DefaultParagraphFont"/>
    <w:link w:val="StyleHeading2StudentNameBlack"/>
    <w:rsid w:val="00701F2C"/>
    <w:rPr>
      <w:rFonts w:ascii="Arial" w:eastAsia="Times New Roman" w:hAnsi="Arial" w:cs="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243318"/>
    <w:rsid w:val="00441CBD"/>
    <w:rsid w:val="004D2584"/>
    <w:rsid w:val="005216EE"/>
    <w:rsid w:val="00540DD6"/>
    <w:rsid w:val="0054449F"/>
    <w:rsid w:val="00544843"/>
    <w:rsid w:val="005C4CE9"/>
    <w:rsid w:val="00627A49"/>
    <w:rsid w:val="007F2846"/>
    <w:rsid w:val="00937783"/>
    <w:rsid w:val="009836DA"/>
    <w:rsid w:val="009F088A"/>
    <w:rsid w:val="00AB323C"/>
    <w:rsid w:val="00B94B5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2024-06-19T00:00:00</PublishDate>
  <Abstract>Postgraduate and Graduate Diplomas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6431</Words>
  <Characters>36663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43008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Grad Diplomas v2 17  Sept 2024</dc:title>
  <dc:subject>
  </dc:subject>
  <dc:creator>Katie J Skilton</dc:creator>
  <cp:keywords>
  </cp:keywords>
  <dc:description>
  </dc:description>
  <cp:lastModifiedBy>lisa Tees</cp:lastModifiedBy>
  <cp:revision>48</cp:revision>
  <cp:lastPrinted>2018-01-15T16:18:00Z</cp:lastPrinted>
  <dcterms:created xsi:type="dcterms:W3CDTF">2024-03-15T12:22:00Z</dcterms:created>
  <dcterms:modified xsi:type="dcterms:W3CDTF">2024-08-01T09:38:29Z</dcterms:modified>
  <cp:contentStatus>2 17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