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Cs/>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0E5D8A" w14:paraId="567FF2F5" w14:textId="4741D594">
          <w:pPr>
            <w:pStyle w:val="PolicyTitle"/>
            <w:spacing w:after="360" w:line="240" w:lineRule="auto"/>
            <w:rPr>
              <w:sz w:val="36"/>
              <w:szCs w:val="36"/>
            </w:rPr>
          </w:pPr>
          <w:r w:rsidRPr="000E5D8A">
            <w:rPr>
              <w:rFonts w:cs="Arial"/>
              <w:bCs/>
            </w:rPr>
            <w:t xml:space="preserve">Devolution of Admissions Decisions to Partner Institutions </w:t>
          </w:r>
          <w:r w:rsidR="003169AC">
            <w:rPr>
              <w:rFonts w:cs="Arial"/>
              <w:bCs/>
            </w:rPr>
            <w:t>o</w:t>
          </w:r>
          <w:r w:rsidRPr="000E5D8A">
            <w:rPr>
              <w:rFonts w:cs="Arial"/>
              <w:bCs/>
            </w:rPr>
            <w:t>ffering Collaborative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E41E05" w14:paraId="39306864" w14:textId="25AAE698">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E5D8A">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E41E05" w14:paraId="31B699F8" w14:textId="75E870E8">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E5D8A">
                  <w:rPr>
                    <w:b w:val="0"/>
                    <w:bCs/>
                    <w:color w:val="auto"/>
                    <w:sz w:val="22"/>
                    <w:szCs w:val="22"/>
                  </w:rPr>
                  <w:t>2 00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E41E05" w14:paraId="086EE632" w14:textId="686377B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E5D8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E41E05" w14:paraId="61A4A8F3" w14:textId="09953B3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0E5D8A">
                  <w:rPr>
                    <w:b w:val="0"/>
                    <w:bCs/>
                    <w:color w:val="auto"/>
                    <w:sz w:val="22"/>
                    <w:szCs w:val="22"/>
                  </w:rPr>
                  <w:t>Education Student Experience Committee (ESEC)</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E41E05" w14:paraId="1252F2F2" w14:textId="7F83BF8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sdtContent>
                <w:r w:rsidR="000E5D8A">
                  <w:rPr>
                    <w:b w:val="0"/>
                    <w:bCs/>
                    <w:color w:val="auto"/>
                    <w:sz w:val="22"/>
                    <w:szCs w:val="22"/>
                  </w:rPr>
                  <w:t>23 July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E41E05" w14:paraId="3AC671EE" w14:textId="50DB698E">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0E5D8A">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E41E05" w14:paraId="5101B7D5" w14:textId="26B9F16F">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0E5D8A">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E41E05" w14:paraId="5EBE624B" w14:textId="21F8A9A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E5D8A">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E41E05" w14:paraId="196463B0" w14:textId="326B22EC">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E5D8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39CBA2D" w14:textId="77777777">
            <w:pPr>
              <w:pStyle w:val="PolicyTitle"/>
              <w:spacing w:after="240"/>
              <w:rPr>
                <w:color w:val="auto"/>
                <w:sz w:val="22"/>
                <w:szCs w:val="22"/>
              </w:rPr>
            </w:pPr>
            <w:r w:rsidRPr="005C3775">
              <w:rPr>
                <w:color w:val="auto"/>
                <w:sz w:val="22"/>
                <w:szCs w:val="22"/>
              </w:rPr>
              <w:t>Contact:</w:t>
            </w:r>
          </w:p>
          <w:p w:rsidRPr="005C3775" w:rsidR="00626BCD" w:rsidP="00E73AF9" w:rsidRDefault="00626BCD" w14:paraId="17A0E353" w14:textId="13B56E64">
            <w:pPr>
              <w:pStyle w:val="PolicyTitle"/>
              <w:spacing w:after="240"/>
              <w:rPr>
                <w:color w:val="auto"/>
                <w:sz w:val="22"/>
                <w:szCs w:val="22"/>
              </w:rPr>
            </w:pPr>
            <w:r>
              <w:rPr>
                <w:color w:val="auto"/>
                <w:sz w:val="22"/>
                <w:szCs w:val="22"/>
              </w:rPr>
              <w:t>Report Exemptions to:</w:t>
            </w:r>
          </w:p>
        </w:tc>
        <w:tc>
          <w:tcPr>
            <w:tcW w:w="6336" w:type="dxa"/>
          </w:tcPr>
          <w:p w:rsidR="00FD5282" w:rsidP="00E73AF9" w:rsidRDefault="00E41E05" w14:paraId="11221BE1"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0E5D8A">
                  <w:rPr>
                    <w:b w:val="0"/>
                    <w:bCs/>
                    <w:color w:val="auto"/>
                    <w:sz w:val="22"/>
                    <w:szCs w:val="22"/>
                    <w:lang w:val="it-IT"/>
                  </w:rPr>
                  <w:t>Quality Support Service</w:t>
                </w:r>
              </w:sdtContent>
            </w:sdt>
          </w:p>
          <w:p w:rsidRPr="00626BCD" w:rsidR="00626BCD" w:rsidP="00626BCD" w:rsidRDefault="00626BCD" w14:paraId="123D99E2" w14:textId="57BC76F3">
            <w:r>
              <w:t xml:space="preserve">Education Planning Committee (EPC)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E41E05" w14:paraId="2461BAFE" w14:textId="7885B1B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E5D8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E41E05" w14:paraId="30450FD0" w14:textId="460749B4">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626BCD">
                  <w:rPr>
                    <w:b w:val="0"/>
                    <w:bCs/>
                    <w:color w:val="auto"/>
                    <w:sz w:val="22"/>
                    <w:szCs w:val="22"/>
                  </w:rPr>
                  <w:t>QAA UK Quality Code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E41E05" w14:paraId="10AD8CAD" w14:textId="5C07A5CE">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E5D8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E41E05" w14:paraId="047E3FAD" w14:textId="14B56039">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0E5D8A" w:rsidR="000E5D8A">
                  <w:rPr>
                    <w:b w:val="0"/>
                    <w:bCs/>
                    <w:color w:val="auto"/>
                    <w:sz w:val="22"/>
                    <w:szCs w:val="22"/>
                  </w:rPr>
                  <w:t>https://www.hull.ac.uk/choose-hull/university-and-region/key-documents/quality</w:t>
                </w:r>
              </w:sdtContent>
            </w:sdt>
          </w:p>
        </w:tc>
      </w:tr>
    </w:tbl>
    <w:p w:rsidR="00EA0B48" w:rsidP="00147CA2" w:rsidRDefault="00EA0B48" w14:paraId="5A9C47F4" w14:textId="10D9C48F">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3169AC" w14:paraId="338EF9A3" w14:textId="21173EEC">
          <w:pPr>
            <w:pStyle w:val="PolicyTitle"/>
            <w:spacing w:after="360" w:line="240" w:lineRule="auto"/>
            <w:rPr>
              <w:sz w:val="36"/>
              <w:szCs w:val="36"/>
            </w:rPr>
          </w:pPr>
          <w:r>
            <w:rPr>
              <w:sz w:val="36"/>
              <w:szCs w:val="36"/>
            </w:rPr>
            <w:t>Devolution of Admissions Decisions to Partner Institutions offering Collaborative Programmes</w:t>
          </w:r>
        </w:p>
      </w:sdtContent>
    </w:sdt>
    <w:sdt>
      <w:sdtPr>
        <w:rPr>
          <w:rFonts w:eastAsiaTheme="minorEastAsia" w:cstheme="minorBidi"/>
          <w:b w:val="0"/>
          <w:szCs w:val="22"/>
          <w:lang w:val="en-GB" w:eastAsia="zh-CN"/>
        </w:rPr>
        <w:id w:val="1119728221"/>
        <w:docPartObj>
          <w:docPartGallery w:val="Table of Contents"/>
          <w:docPartUnique/>
        </w:docPartObj>
      </w:sdtPr>
      <w:sdtEndPr>
        <w:rPr>
          <w:rFonts w:cs="Times New Roman"/>
          <w:bCs/>
          <w:noProof/>
          <w:lang w:val="en-US" w:eastAsia="en-US"/>
        </w:rPr>
      </w:sdtEndPr>
      <w:sdtContent>
        <w:p w:rsidRPr="002E6BBA" w:rsidR="00F24D55" w:rsidP="00C557E3" w:rsidRDefault="00F24D55" w14:paraId="476B48A2" w14:textId="36BA5374">
          <w:pPr>
            <w:pStyle w:val="TOCHeading"/>
            <w:numPr>
              <w:ilvl w:val="0"/>
              <w:numId w:val="0"/>
            </w:numPr>
          </w:pPr>
          <w:r w:rsidRPr="002E6BBA">
            <w:t>Table of Contents</w:t>
          </w:r>
        </w:p>
        <w:p w:rsidR="00D17767" w:rsidRDefault="00F24D55" w14:paraId="6CC638C7" w14:textId="068D49AD">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2891730">
            <w:r w:rsidRPr="00951C1A" w:rsidR="00D17767">
              <w:rPr>
                <w:rStyle w:val="Hyperlink"/>
                <w:noProof/>
              </w:rPr>
              <w:t>1</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Introduction</w:t>
            </w:r>
            <w:r w:rsidR="00D17767">
              <w:rPr>
                <w:noProof/>
                <w:webHidden/>
              </w:rPr>
              <w:tab/>
            </w:r>
            <w:r w:rsidR="00D17767">
              <w:rPr>
                <w:noProof/>
                <w:webHidden/>
              </w:rPr>
              <w:fldChar w:fldCharType="begin"/>
            </w:r>
            <w:r w:rsidR="00D17767">
              <w:rPr>
                <w:noProof/>
                <w:webHidden/>
              </w:rPr>
              <w:instrText xml:space="preserve"> PAGEREF _Toc172891730 \h </w:instrText>
            </w:r>
            <w:r w:rsidR="00D17767">
              <w:rPr>
                <w:noProof/>
                <w:webHidden/>
              </w:rPr>
            </w:r>
            <w:r w:rsidR="00D17767">
              <w:rPr>
                <w:noProof/>
                <w:webHidden/>
              </w:rPr>
              <w:fldChar w:fldCharType="separate"/>
            </w:r>
            <w:r w:rsidR="00F86C54">
              <w:rPr>
                <w:noProof/>
                <w:webHidden/>
              </w:rPr>
              <w:t>4</w:t>
            </w:r>
            <w:r w:rsidR="00D17767">
              <w:rPr>
                <w:noProof/>
                <w:webHidden/>
              </w:rPr>
              <w:fldChar w:fldCharType="end"/>
            </w:r>
          </w:hyperlink>
        </w:p>
        <w:p w:rsidR="00D17767" w:rsidRDefault="00E41E05" w14:paraId="0B7D1F7C" w14:textId="7005EF24">
          <w:pPr>
            <w:pStyle w:val="TOC2"/>
            <w:rPr>
              <w:rFonts w:asciiTheme="minorHAnsi" w:hAnsiTheme="minorHAnsi" w:cstheme="minorBidi"/>
              <w:noProof/>
              <w:kern w:val="2"/>
              <w:sz w:val="24"/>
              <w:szCs w:val="24"/>
              <w:lang w:val="en-GB" w:eastAsia="en-GB"/>
              <w14:ligatures w14:val="standardContextual"/>
            </w:rPr>
          </w:pPr>
          <w:hyperlink w:history="1" w:anchor="_Toc172891731">
            <w:r w:rsidRPr="00951C1A" w:rsidR="00D17767">
              <w:rPr>
                <w:rStyle w:val="Hyperlink"/>
                <w:noProof/>
              </w:rPr>
              <w:t>Key Principles</w:t>
            </w:r>
            <w:r w:rsidR="00D17767">
              <w:rPr>
                <w:noProof/>
                <w:webHidden/>
              </w:rPr>
              <w:tab/>
            </w:r>
            <w:r w:rsidR="00D17767">
              <w:rPr>
                <w:noProof/>
                <w:webHidden/>
              </w:rPr>
              <w:fldChar w:fldCharType="begin"/>
            </w:r>
            <w:r w:rsidR="00D17767">
              <w:rPr>
                <w:noProof/>
                <w:webHidden/>
              </w:rPr>
              <w:instrText xml:space="preserve"> PAGEREF _Toc172891731 \h </w:instrText>
            </w:r>
            <w:r w:rsidR="00D17767">
              <w:rPr>
                <w:noProof/>
                <w:webHidden/>
              </w:rPr>
            </w:r>
            <w:r w:rsidR="00D17767">
              <w:rPr>
                <w:noProof/>
                <w:webHidden/>
              </w:rPr>
              <w:fldChar w:fldCharType="separate"/>
            </w:r>
            <w:r w:rsidR="00F86C54">
              <w:rPr>
                <w:noProof/>
                <w:webHidden/>
              </w:rPr>
              <w:t>4</w:t>
            </w:r>
            <w:r w:rsidR="00D17767">
              <w:rPr>
                <w:noProof/>
                <w:webHidden/>
              </w:rPr>
              <w:fldChar w:fldCharType="end"/>
            </w:r>
          </w:hyperlink>
        </w:p>
        <w:p w:rsidR="00D17767" w:rsidRDefault="00E41E05" w14:paraId="5A2D8ED1" w14:textId="174C1D9C">
          <w:pPr>
            <w:pStyle w:val="TOC1"/>
            <w:rPr>
              <w:rFonts w:asciiTheme="minorHAnsi" w:hAnsiTheme="minorHAnsi" w:cstheme="minorBidi"/>
              <w:noProof/>
              <w:kern w:val="2"/>
              <w:sz w:val="24"/>
              <w:szCs w:val="24"/>
              <w:lang w:val="en-GB" w:eastAsia="en-GB"/>
              <w14:ligatures w14:val="standardContextual"/>
            </w:rPr>
          </w:pPr>
          <w:hyperlink w:history="1" w:anchor="_Toc172891732">
            <w:r w:rsidRPr="00951C1A" w:rsidR="00D17767">
              <w:rPr>
                <w:rStyle w:val="Hyperlink"/>
                <w:noProof/>
              </w:rPr>
              <w:t>2</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Partner Institution responsibilities</w:t>
            </w:r>
            <w:r w:rsidR="00D17767">
              <w:rPr>
                <w:noProof/>
                <w:webHidden/>
              </w:rPr>
              <w:tab/>
            </w:r>
            <w:r w:rsidR="00D17767">
              <w:rPr>
                <w:noProof/>
                <w:webHidden/>
              </w:rPr>
              <w:fldChar w:fldCharType="begin"/>
            </w:r>
            <w:r w:rsidR="00D17767">
              <w:rPr>
                <w:noProof/>
                <w:webHidden/>
              </w:rPr>
              <w:instrText xml:space="preserve"> PAGEREF _Toc172891732 \h </w:instrText>
            </w:r>
            <w:r w:rsidR="00D17767">
              <w:rPr>
                <w:noProof/>
                <w:webHidden/>
              </w:rPr>
            </w:r>
            <w:r w:rsidR="00D17767">
              <w:rPr>
                <w:noProof/>
                <w:webHidden/>
              </w:rPr>
              <w:fldChar w:fldCharType="separate"/>
            </w:r>
            <w:r w:rsidR="00F86C54">
              <w:rPr>
                <w:noProof/>
                <w:webHidden/>
              </w:rPr>
              <w:t>4</w:t>
            </w:r>
            <w:r w:rsidR="00D17767">
              <w:rPr>
                <w:noProof/>
                <w:webHidden/>
              </w:rPr>
              <w:fldChar w:fldCharType="end"/>
            </w:r>
          </w:hyperlink>
        </w:p>
        <w:p w:rsidR="00D17767" w:rsidRDefault="00E41E05" w14:paraId="20CCDFAA" w14:textId="0974423B">
          <w:pPr>
            <w:pStyle w:val="TOC2"/>
            <w:rPr>
              <w:rFonts w:asciiTheme="minorHAnsi" w:hAnsiTheme="minorHAnsi" w:cstheme="minorBidi"/>
              <w:noProof/>
              <w:kern w:val="2"/>
              <w:sz w:val="24"/>
              <w:szCs w:val="24"/>
              <w:lang w:val="en-GB" w:eastAsia="en-GB"/>
              <w14:ligatures w14:val="standardContextual"/>
            </w:rPr>
          </w:pPr>
          <w:hyperlink w:history="1" w:anchor="_Toc172891733">
            <w:r w:rsidRPr="00951C1A" w:rsidR="00D17767">
              <w:rPr>
                <w:rStyle w:val="Hyperlink"/>
                <w:noProof/>
              </w:rPr>
              <w:t>Responsibility for compliance with the Code of Practice</w:t>
            </w:r>
            <w:r w:rsidR="00D17767">
              <w:rPr>
                <w:noProof/>
                <w:webHidden/>
              </w:rPr>
              <w:tab/>
            </w:r>
            <w:r w:rsidR="00D17767">
              <w:rPr>
                <w:noProof/>
                <w:webHidden/>
              </w:rPr>
              <w:fldChar w:fldCharType="begin"/>
            </w:r>
            <w:r w:rsidR="00D17767">
              <w:rPr>
                <w:noProof/>
                <w:webHidden/>
              </w:rPr>
              <w:instrText xml:space="preserve"> PAGEREF _Toc172891733 \h </w:instrText>
            </w:r>
            <w:r w:rsidR="00D17767">
              <w:rPr>
                <w:noProof/>
                <w:webHidden/>
              </w:rPr>
            </w:r>
            <w:r w:rsidR="00D17767">
              <w:rPr>
                <w:noProof/>
                <w:webHidden/>
              </w:rPr>
              <w:fldChar w:fldCharType="separate"/>
            </w:r>
            <w:r w:rsidR="00F86C54">
              <w:rPr>
                <w:noProof/>
                <w:webHidden/>
              </w:rPr>
              <w:t>4</w:t>
            </w:r>
            <w:r w:rsidR="00D17767">
              <w:rPr>
                <w:noProof/>
                <w:webHidden/>
              </w:rPr>
              <w:fldChar w:fldCharType="end"/>
            </w:r>
          </w:hyperlink>
        </w:p>
        <w:p w:rsidR="00D17767" w:rsidRDefault="00E41E05" w14:paraId="6EAD3A45" w14:textId="06C25E9B">
          <w:pPr>
            <w:pStyle w:val="TOC2"/>
            <w:rPr>
              <w:rFonts w:asciiTheme="minorHAnsi" w:hAnsiTheme="minorHAnsi" w:cstheme="minorBidi"/>
              <w:noProof/>
              <w:kern w:val="2"/>
              <w:sz w:val="24"/>
              <w:szCs w:val="24"/>
              <w:lang w:val="en-GB" w:eastAsia="en-GB"/>
              <w14:ligatures w14:val="standardContextual"/>
            </w:rPr>
          </w:pPr>
          <w:hyperlink w:history="1" w:anchor="_Toc172891734">
            <w:r w:rsidRPr="00951C1A" w:rsidR="00D17767">
              <w:rPr>
                <w:rStyle w:val="Hyperlink"/>
                <w:noProof/>
              </w:rPr>
              <w:t>Responsibility for admissions decisions</w:t>
            </w:r>
            <w:r w:rsidR="00D17767">
              <w:rPr>
                <w:noProof/>
                <w:webHidden/>
              </w:rPr>
              <w:tab/>
            </w:r>
            <w:r w:rsidR="00D17767">
              <w:rPr>
                <w:noProof/>
                <w:webHidden/>
              </w:rPr>
              <w:fldChar w:fldCharType="begin"/>
            </w:r>
            <w:r w:rsidR="00D17767">
              <w:rPr>
                <w:noProof/>
                <w:webHidden/>
              </w:rPr>
              <w:instrText xml:space="preserve"> PAGEREF _Toc172891734 \h </w:instrText>
            </w:r>
            <w:r w:rsidR="00D17767">
              <w:rPr>
                <w:noProof/>
                <w:webHidden/>
              </w:rPr>
            </w:r>
            <w:r w:rsidR="00D17767">
              <w:rPr>
                <w:noProof/>
                <w:webHidden/>
              </w:rPr>
              <w:fldChar w:fldCharType="separate"/>
            </w:r>
            <w:r w:rsidR="00F86C54">
              <w:rPr>
                <w:noProof/>
                <w:webHidden/>
              </w:rPr>
              <w:t>4</w:t>
            </w:r>
            <w:r w:rsidR="00D17767">
              <w:rPr>
                <w:noProof/>
                <w:webHidden/>
              </w:rPr>
              <w:fldChar w:fldCharType="end"/>
            </w:r>
          </w:hyperlink>
        </w:p>
        <w:p w:rsidR="00D17767" w:rsidRDefault="00E41E05" w14:paraId="06A16E25" w14:textId="28727386">
          <w:pPr>
            <w:pStyle w:val="TOC1"/>
            <w:rPr>
              <w:rFonts w:asciiTheme="minorHAnsi" w:hAnsiTheme="minorHAnsi" w:cstheme="minorBidi"/>
              <w:noProof/>
              <w:kern w:val="2"/>
              <w:sz w:val="24"/>
              <w:szCs w:val="24"/>
              <w:lang w:val="en-GB" w:eastAsia="en-GB"/>
              <w14:ligatures w14:val="standardContextual"/>
            </w:rPr>
          </w:pPr>
          <w:hyperlink w:history="1" w:anchor="_Toc172891735">
            <w:r w:rsidRPr="00951C1A" w:rsidR="00D17767">
              <w:rPr>
                <w:rStyle w:val="Hyperlink"/>
                <w:noProof/>
              </w:rPr>
              <w:t>3</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Devolution Approval Process</w:t>
            </w:r>
            <w:r w:rsidR="00D17767">
              <w:rPr>
                <w:noProof/>
                <w:webHidden/>
              </w:rPr>
              <w:tab/>
            </w:r>
            <w:r w:rsidR="00D17767">
              <w:rPr>
                <w:noProof/>
                <w:webHidden/>
              </w:rPr>
              <w:fldChar w:fldCharType="begin"/>
            </w:r>
            <w:r w:rsidR="00D17767">
              <w:rPr>
                <w:noProof/>
                <w:webHidden/>
              </w:rPr>
              <w:instrText xml:space="preserve"> PAGEREF _Toc172891735 \h </w:instrText>
            </w:r>
            <w:r w:rsidR="00D17767">
              <w:rPr>
                <w:noProof/>
                <w:webHidden/>
              </w:rPr>
            </w:r>
            <w:r w:rsidR="00D17767">
              <w:rPr>
                <w:noProof/>
                <w:webHidden/>
              </w:rPr>
              <w:fldChar w:fldCharType="separate"/>
            </w:r>
            <w:r w:rsidR="00F86C54">
              <w:rPr>
                <w:noProof/>
                <w:webHidden/>
              </w:rPr>
              <w:t>5</w:t>
            </w:r>
            <w:r w:rsidR="00D17767">
              <w:rPr>
                <w:noProof/>
                <w:webHidden/>
              </w:rPr>
              <w:fldChar w:fldCharType="end"/>
            </w:r>
          </w:hyperlink>
        </w:p>
        <w:p w:rsidR="00D17767" w:rsidRDefault="00E41E05" w14:paraId="7A0B2554" w14:textId="1B126BE7">
          <w:pPr>
            <w:pStyle w:val="TOC2"/>
            <w:rPr>
              <w:rFonts w:asciiTheme="minorHAnsi" w:hAnsiTheme="minorHAnsi" w:cstheme="minorBidi"/>
              <w:noProof/>
              <w:kern w:val="2"/>
              <w:sz w:val="24"/>
              <w:szCs w:val="24"/>
              <w:lang w:val="en-GB" w:eastAsia="en-GB"/>
              <w14:ligatures w14:val="standardContextual"/>
            </w:rPr>
          </w:pPr>
          <w:hyperlink w:history="1" w:anchor="_Toc172891736">
            <w:r w:rsidRPr="00951C1A" w:rsidR="00D17767">
              <w:rPr>
                <w:rStyle w:val="Hyperlink"/>
                <w:noProof/>
              </w:rPr>
              <w:t>Step 1 - Submission of the application</w:t>
            </w:r>
            <w:r w:rsidR="00D17767">
              <w:rPr>
                <w:noProof/>
                <w:webHidden/>
              </w:rPr>
              <w:tab/>
            </w:r>
            <w:r w:rsidR="00D17767">
              <w:rPr>
                <w:noProof/>
                <w:webHidden/>
              </w:rPr>
              <w:fldChar w:fldCharType="begin"/>
            </w:r>
            <w:r w:rsidR="00D17767">
              <w:rPr>
                <w:noProof/>
                <w:webHidden/>
              </w:rPr>
              <w:instrText xml:space="preserve"> PAGEREF _Toc172891736 \h </w:instrText>
            </w:r>
            <w:r w:rsidR="00D17767">
              <w:rPr>
                <w:noProof/>
                <w:webHidden/>
              </w:rPr>
            </w:r>
            <w:r w:rsidR="00D17767">
              <w:rPr>
                <w:noProof/>
                <w:webHidden/>
              </w:rPr>
              <w:fldChar w:fldCharType="separate"/>
            </w:r>
            <w:r w:rsidR="00F86C54">
              <w:rPr>
                <w:noProof/>
                <w:webHidden/>
              </w:rPr>
              <w:t>5</w:t>
            </w:r>
            <w:r w:rsidR="00D17767">
              <w:rPr>
                <w:noProof/>
                <w:webHidden/>
              </w:rPr>
              <w:fldChar w:fldCharType="end"/>
            </w:r>
          </w:hyperlink>
        </w:p>
        <w:p w:rsidR="00D17767" w:rsidRDefault="00E41E05" w14:paraId="18A407F2" w14:textId="58B43334">
          <w:pPr>
            <w:pStyle w:val="TOC2"/>
            <w:rPr>
              <w:rFonts w:asciiTheme="minorHAnsi" w:hAnsiTheme="minorHAnsi" w:cstheme="minorBidi"/>
              <w:noProof/>
              <w:kern w:val="2"/>
              <w:sz w:val="24"/>
              <w:szCs w:val="24"/>
              <w:lang w:val="en-GB" w:eastAsia="en-GB"/>
              <w14:ligatures w14:val="standardContextual"/>
            </w:rPr>
          </w:pPr>
          <w:hyperlink w:history="1" w:anchor="_Toc172891737">
            <w:r w:rsidRPr="00951C1A" w:rsidR="00D17767">
              <w:rPr>
                <w:rStyle w:val="Hyperlink"/>
                <w:noProof/>
              </w:rPr>
              <w:t>Entry requirements</w:t>
            </w:r>
            <w:r w:rsidR="00D17767">
              <w:rPr>
                <w:noProof/>
                <w:webHidden/>
              </w:rPr>
              <w:tab/>
            </w:r>
            <w:r w:rsidR="00D17767">
              <w:rPr>
                <w:noProof/>
                <w:webHidden/>
              </w:rPr>
              <w:fldChar w:fldCharType="begin"/>
            </w:r>
            <w:r w:rsidR="00D17767">
              <w:rPr>
                <w:noProof/>
                <w:webHidden/>
              </w:rPr>
              <w:instrText xml:space="preserve"> PAGEREF _Toc172891737 \h </w:instrText>
            </w:r>
            <w:r w:rsidR="00D17767">
              <w:rPr>
                <w:noProof/>
                <w:webHidden/>
              </w:rPr>
            </w:r>
            <w:r w:rsidR="00D17767">
              <w:rPr>
                <w:noProof/>
                <w:webHidden/>
              </w:rPr>
              <w:fldChar w:fldCharType="separate"/>
            </w:r>
            <w:r w:rsidR="00F86C54">
              <w:rPr>
                <w:noProof/>
                <w:webHidden/>
              </w:rPr>
              <w:t>5</w:t>
            </w:r>
            <w:r w:rsidR="00D17767">
              <w:rPr>
                <w:noProof/>
                <w:webHidden/>
              </w:rPr>
              <w:fldChar w:fldCharType="end"/>
            </w:r>
          </w:hyperlink>
        </w:p>
        <w:p w:rsidR="00D17767" w:rsidRDefault="00E41E05" w14:paraId="67D18F46" w14:textId="0B501122">
          <w:pPr>
            <w:pStyle w:val="TOC2"/>
            <w:rPr>
              <w:rFonts w:asciiTheme="minorHAnsi" w:hAnsiTheme="minorHAnsi" w:cstheme="minorBidi"/>
              <w:noProof/>
              <w:kern w:val="2"/>
              <w:sz w:val="24"/>
              <w:szCs w:val="24"/>
              <w:lang w:val="en-GB" w:eastAsia="en-GB"/>
              <w14:ligatures w14:val="standardContextual"/>
            </w:rPr>
          </w:pPr>
          <w:hyperlink w:history="1" w:anchor="_Toc172891738">
            <w:r w:rsidRPr="00951C1A" w:rsidR="00D17767">
              <w:rPr>
                <w:rStyle w:val="Hyperlink"/>
                <w:noProof/>
              </w:rPr>
              <w:t>University faculty procedures</w:t>
            </w:r>
            <w:r w:rsidR="00D17767">
              <w:rPr>
                <w:noProof/>
                <w:webHidden/>
              </w:rPr>
              <w:tab/>
            </w:r>
            <w:r w:rsidR="00D17767">
              <w:rPr>
                <w:noProof/>
                <w:webHidden/>
              </w:rPr>
              <w:fldChar w:fldCharType="begin"/>
            </w:r>
            <w:r w:rsidR="00D17767">
              <w:rPr>
                <w:noProof/>
                <w:webHidden/>
              </w:rPr>
              <w:instrText xml:space="preserve"> PAGEREF _Toc172891738 \h </w:instrText>
            </w:r>
            <w:r w:rsidR="00D17767">
              <w:rPr>
                <w:noProof/>
                <w:webHidden/>
              </w:rPr>
            </w:r>
            <w:r w:rsidR="00D17767">
              <w:rPr>
                <w:noProof/>
                <w:webHidden/>
              </w:rPr>
              <w:fldChar w:fldCharType="separate"/>
            </w:r>
            <w:r w:rsidR="00F86C54">
              <w:rPr>
                <w:noProof/>
                <w:webHidden/>
              </w:rPr>
              <w:t>5</w:t>
            </w:r>
            <w:r w:rsidR="00D17767">
              <w:rPr>
                <w:noProof/>
                <w:webHidden/>
              </w:rPr>
              <w:fldChar w:fldCharType="end"/>
            </w:r>
          </w:hyperlink>
        </w:p>
        <w:p w:rsidR="00D17767" w:rsidRDefault="00E41E05" w14:paraId="6D7271C1" w14:textId="3FDBA785">
          <w:pPr>
            <w:pStyle w:val="TOC2"/>
            <w:rPr>
              <w:rFonts w:asciiTheme="minorHAnsi" w:hAnsiTheme="minorHAnsi" w:cstheme="minorBidi"/>
              <w:noProof/>
              <w:kern w:val="2"/>
              <w:sz w:val="24"/>
              <w:szCs w:val="24"/>
              <w:lang w:val="en-GB" w:eastAsia="en-GB"/>
              <w14:ligatures w14:val="standardContextual"/>
            </w:rPr>
          </w:pPr>
          <w:hyperlink w:history="1" w:anchor="_Toc172891739">
            <w:r w:rsidRPr="00951C1A" w:rsidR="00D17767">
              <w:rPr>
                <w:rStyle w:val="Hyperlink"/>
                <w:noProof/>
              </w:rPr>
              <w:t>Step 2 – Consideration of the application</w:t>
            </w:r>
            <w:r w:rsidR="00D17767">
              <w:rPr>
                <w:noProof/>
                <w:webHidden/>
              </w:rPr>
              <w:tab/>
            </w:r>
            <w:r w:rsidR="00D17767">
              <w:rPr>
                <w:noProof/>
                <w:webHidden/>
              </w:rPr>
              <w:fldChar w:fldCharType="begin"/>
            </w:r>
            <w:r w:rsidR="00D17767">
              <w:rPr>
                <w:noProof/>
                <w:webHidden/>
              </w:rPr>
              <w:instrText xml:space="preserve"> PAGEREF _Toc172891739 \h </w:instrText>
            </w:r>
            <w:r w:rsidR="00D17767">
              <w:rPr>
                <w:noProof/>
                <w:webHidden/>
              </w:rPr>
            </w:r>
            <w:r w:rsidR="00D17767">
              <w:rPr>
                <w:noProof/>
                <w:webHidden/>
              </w:rPr>
              <w:fldChar w:fldCharType="separate"/>
            </w:r>
            <w:r w:rsidR="00F86C54">
              <w:rPr>
                <w:noProof/>
                <w:webHidden/>
              </w:rPr>
              <w:t>5</w:t>
            </w:r>
            <w:r w:rsidR="00D17767">
              <w:rPr>
                <w:noProof/>
                <w:webHidden/>
              </w:rPr>
              <w:fldChar w:fldCharType="end"/>
            </w:r>
          </w:hyperlink>
        </w:p>
        <w:p w:rsidR="00D17767" w:rsidRDefault="00E41E05" w14:paraId="5A82E695" w14:textId="0E18F8F4">
          <w:pPr>
            <w:pStyle w:val="TOC2"/>
            <w:rPr>
              <w:rFonts w:asciiTheme="minorHAnsi" w:hAnsiTheme="minorHAnsi" w:cstheme="minorBidi"/>
              <w:noProof/>
              <w:kern w:val="2"/>
              <w:sz w:val="24"/>
              <w:szCs w:val="24"/>
              <w:lang w:val="en-GB" w:eastAsia="en-GB"/>
              <w14:ligatures w14:val="standardContextual"/>
            </w:rPr>
          </w:pPr>
          <w:hyperlink w:history="1" w:anchor="_Toc172891740">
            <w:r w:rsidRPr="00951C1A" w:rsidR="00D17767">
              <w:rPr>
                <w:rStyle w:val="Hyperlink"/>
                <w:noProof/>
              </w:rPr>
              <w:t>Step 3 - Decision of the panel</w:t>
            </w:r>
            <w:r w:rsidR="00D17767">
              <w:rPr>
                <w:noProof/>
                <w:webHidden/>
              </w:rPr>
              <w:tab/>
            </w:r>
            <w:r w:rsidR="00D17767">
              <w:rPr>
                <w:noProof/>
                <w:webHidden/>
              </w:rPr>
              <w:fldChar w:fldCharType="begin"/>
            </w:r>
            <w:r w:rsidR="00D17767">
              <w:rPr>
                <w:noProof/>
                <w:webHidden/>
              </w:rPr>
              <w:instrText xml:space="preserve"> PAGEREF _Toc172891740 \h </w:instrText>
            </w:r>
            <w:r w:rsidR="00D17767">
              <w:rPr>
                <w:noProof/>
                <w:webHidden/>
              </w:rPr>
            </w:r>
            <w:r w:rsidR="00D17767">
              <w:rPr>
                <w:noProof/>
                <w:webHidden/>
              </w:rPr>
              <w:fldChar w:fldCharType="separate"/>
            </w:r>
            <w:r w:rsidR="00F86C54">
              <w:rPr>
                <w:noProof/>
                <w:webHidden/>
              </w:rPr>
              <w:t>6</w:t>
            </w:r>
            <w:r w:rsidR="00D17767">
              <w:rPr>
                <w:noProof/>
                <w:webHidden/>
              </w:rPr>
              <w:fldChar w:fldCharType="end"/>
            </w:r>
          </w:hyperlink>
        </w:p>
        <w:p w:rsidR="00D17767" w:rsidRDefault="00E41E05" w14:paraId="6AD4CA80" w14:textId="35BA9C5A">
          <w:pPr>
            <w:pStyle w:val="TOC2"/>
            <w:rPr>
              <w:rFonts w:asciiTheme="minorHAnsi" w:hAnsiTheme="minorHAnsi" w:cstheme="minorBidi"/>
              <w:noProof/>
              <w:kern w:val="2"/>
              <w:sz w:val="24"/>
              <w:szCs w:val="24"/>
              <w:lang w:val="en-GB" w:eastAsia="en-GB"/>
              <w14:ligatures w14:val="standardContextual"/>
            </w:rPr>
          </w:pPr>
          <w:hyperlink w:history="1" w:anchor="_Toc172891741">
            <w:r w:rsidRPr="00951C1A" w:rsidR="00D17767">
              <w:rPr>
                <w:rStyle w:val="Hyperlink"/>
                <w:noProof/>
              </w:rPr>
              <w:t>Approval with recommendations and/or conditions</w:t>
            </w:r>
            <w:r w:rsidR="00D17767">
              <w:rPr>
                <w:noProof/>
                <w:webHidden/>
              </w:rPr>
              <w:tab/>
            </w:r>
            <w:r w:rsidR="00D17767">
              <w:rPr>
                <w:noProof/>
                <w:webHidden/>
              </w:rPr>
              <w:fldChar w:fldCharType="begin"/>
            </w:r>
            <w:r w:rsidR="00D17767">
              <w:rPr>
                <w:noProof/>
                <w:webHidden/>
              </w:rPr>
              <w:instrText xml:space="preserve"> PAGEREF _Toc172891741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006991AE" w14:textId="7D6CA622">
          <w:pPr>
            <w:pStyle w:val="TOC2"/>
            <w:rPr>
              <w:rFonts w:asciiTheme="minorHAnsi" w:hAnsiTheme="minorHAnsi" w:cstheme="minorBidi"/>
              <w:noProof/>
              <w:kern w:val="2"/>
              <w:sz w:val="24"/>
              <w:szCs w:val="24"/>
              <w:lang w:val="en-GB" w:eastAsia="en-GB"/>
              <w14:ligatures w14:val="standardContextual"/>
            </w:rPr>
          </w:pPr>
          <w:hyperlink w:history="1" w:anchor="_Toc172891742">
            <w:r w:rsidRPr="00951C1A" w:rsidR="00D17767">
              <w:rPr>
                <w:rStyle w:val="Hyperlink"/>
                <w:noProof/>
              </w:rPr>
              <w:t>Defer pending further information</w:t>
            </w:r>
            <w:r w:rsidR="00D17767">
              <w:rPr>
                <w:noProof/>
                <w:webHidden/>
              </w:rPr>
              <w:tab/>
            </w:r>
            <w:r w:rsidR="00D17767">
              <w:rPr>
                <w:noProof/>
                <w:webHidden/>
              </w:rPr>
              <w:fldChar w:fldCharType="begin"/>
            </w:r>
            <w:r w:rsidR="00D17767">
              <w:rPr>
                <w:noProof/>
                <w:webHidden/>
              </w:rPr>
              <w:instrText xml:space="preserve"> PAGEREF _Toc172891742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6D067961" w14:textId="28804D62">
          <w:pPr>
            <w:pStyle w:val="TOC2"/>
            <w:rPr>
              <w:rFonts w:asciiTheme="minorHAnsi" w:hAnsiTheme="minorHAnsi" w:cstheme="minorBidi"/>
              <w:noProof/>
              <w:kern w:val="2"/>
              <w:sz w:val="24"/>
              <w:szCs w:val="24"/>
              <w:lang w:val="en-GB" w:eastAsia="en-GB"/>
              <w14:ligatures w14:val="standardContextual"/>
            </w:rPr>
          </w:pPr>
          <w:hyperlink w:history="1" w:anchor="_Toc172891743">
            <w:r w:rsidRPr="00951C1A" w:rsidR="00D17767">
              <w:rPr>
                <w:rStyle w:val="Hyperlink"/>
                <w:noProof/>
              </w:rPr>
              <w:t>Reject the application</w:t>
            </w:r>
            <w:r w:rsidR="00D17767">
              <w:rPr>
                <w:noProof/>
                <w:webHidden/>
              </w:rPr>
              <w:tab/>
            </w:r>
            <w:r w:rsidR="00D17767">
              <w:rPr>
                <w:noProof/>
                <w:webHidden/>
              </w:rPr>
              <w:fldChar w:fldCharType="begin"/>
            </w:r>
            <w:r w:rsidR="00D17767">
              <w:rPr>
                <w:noProof/>
                <w:webHidden/>
              </w:rPr>
              <w:instrText xml:space="preserve"> PAGEREF _Toc172891743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2C6B6EC9" w14:textId="58742A71">
          <w:pPr>
            <w:pStyle w:val="TOC2"/>
            <w:rPr>
              <w:rFonts w:asciiTheme="minorHAnsi" w:hAnsiTheme="minorHAnsi" w:cstheme="minorBidi"/>
              <w:noProof/>
              <w:kern w:val="2"/>
              <w:sz w:val="24"/>
              <w:szCs w:val="24"/>
              <w:lang w:val="en-GB" w:eastAsia="en-GB"/>
              <w14:ligatures w14:val="standardContextual"/>
            </w:rPr>
          </w:pPr>
          <w:hyperlink w:history="1" w:anchor="_Toc172891744">
            <w:r w:rsidRPr="00951C1A" w:rsidR="00D17767">
              <w:rPr>
                <w:rStyle w:val="Hyperlink"/>
                <w:noProof/>
              </w:rPr>
              <w:t>Step 4 – The Formal Record</w:t>
            </w:r>
            <w:r w:rsidR="00D17767">
              <w:rPr>
                <w:noProof/>
                <w:webHidden/>
              </w:rPr>
              <w:tab/>
            </w:r>
            <w:r w:rsidR="00D17767">
              <w:rPr>
                <w:noProof/>
                <w:webHidden/>
              </w:rPr>
              <w:fldChar w:fldCharType="begin"/>
            </w:r>
            <w:r w:rsidR="00D17767">
              <w:rPr>
                <w:noProof/>
                <w:webHidden/>
              </w:rPr>
              <w:instrText xml:space="preserve"> PAGEREF _Toc172891744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3085D024" w14:textId="72003EFE">
          <w:pPr>
            <w:pStyle w:val="TOC1"/>
            <w:rPr>
              <w:rFonts w:asciiTheme="minorHAnsi" w:hAnsiTheme="minorHAnsi" w:cstheme="minorBidi"/>
              <w:noProof/>
              <w:kern w:val="2"/>
              <w:sz w:val="24"/>
              <w:szCs w:val="24"/>
              <w:lang w:val="en-GB" w:eastAsia="en-GB"/>
              <w14:ligatures w14:val="standardContextual"/>
            </w:rPr>
          </w:pPr>
          <w:hyperlink w:history="1" w:anchor="_Toc172891745">
            <w:r w:rsidRPr="00951C1A" w:rsidR="00D17767">
              <w:rPr>
                <w:rStyle w:val="Hyperlink"/>
                <w:noProof/>
              </w:rPr>
              <w:t>4</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Ongoing arrangements</w:t>
            </w:r>
            <w:r w:rsidR="00D17767">
              <w:rPr>
                <w:noProof/>
                <w:webHidden/>
              </w:rPr>
              <w:tab/>
            </w:r>
            <w:r w:rsidR="00D17767">
              <w:rPr>
                <w:noProof/>
                <w:webHidden/>
              </w:rPr>
              <w:fldChar w:fldCharType="begin"/>
            </w:r>
            <w:r w:rsidR="00D17767">
              <w:rPr>
                <w:noProof/>
                <w:webHidden/>
              </w:rPr>
              <w:instrText xml:space="preserve"> PAGEREF _Toc172891745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188EB49F" w14:textId="35A72064">
          <w:pPr>
            <w:pStyle w:val="TOC2"/>
            <w:rPr>
              <w:rFonts w:asciiTheme="minorHAnsi" w:hAnsiTheme="minorHAnsi" w:cstheme="minorBidi"/>
              <w:noProof/>
              <w:kern w:val="2"/>
              <w:sz w:val="24"/>
              <w:szCs w:val="24"/>
              <w:lang w:val="en-GB" w:eastAsia="en-GB"/>
              <w14:ligatures w14:val="standardContextual"/>
            </w:rPr>
          </w:pPr>
          <w:hyperlink w:history="1" w:anchor="_Toc172891746">
            <w:r w:rsidRPr="00951C1A" w:rsidR="00D17767">
              <w:rPr>
                <w:rStyle w:val="Hyperlink"/>
                <w:noProof/>
              </w:rPr>
              <w:t>Changes to entry requirements</w:t>
            </w:r>
            <w:r w:rsidR="00D17767">
              <w:rPr>
                <w:noProof/>
                <w:webHidden/>
              </w:rPr>
              <w:tab/>
            </w:r>
            <w:r w:rsidR="00D17767">
              <w:rPr>
                <w:noProof/>
                <w:webHidden/>
              </w:rPr>
              <w:fldChar w:fldCharType="begin"/>
            </w:r>
            <w:r w:rsidR="00D17767">
              <w:rPr>
                <w:noProof/>
                <w:webHidden/>
              </w:rPr>
              <w:instrText xml:space="preserve"> PAGEREF _Toc172891746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35B3EC70" w14:textId="07B78074">
          <w:pPr>
            <w:pStyle w:val="TOC2"/>
            <w:rPr>
              <w:rFonts w:asciiTheme="minorHAnsi" w:hAnsiTheme="minorHAnsi" w:cstheme="minorBidi"/>
              <w:noProof/>
              <w:kern w:val="2"/>
              <w:sz w:val="24"/>
              <w:szCs w:val="24"/>
              <w:lang w:val="en-GB" w:eastAsia="en-GB"/>
              <w14:ligatures w14:val="standardContextual"/>
            </w:rPr>
          </w:pPr>
          <w:hyperlink w:history="1" w:anchor="_Toc172891747">
            <w:r w:rsidRPr="00951C1A" w:rsidR="00D17767">
              <w:rPr>
                <w:rStyle w:val="Hyperlink"/>
                <w:noProof/>
              </w:rPr>
              <w:t>Entry requirements at ‘Clearing’</w:t>
            </w:r>
            <w:r w:rsidR="00D17767">
              <w:rPr>
                <w:noProof/>
                <w:webHidden/>
              </w:rPr>
              <w:tab/>
            </w:r>
            <w:r w:rsidR="00D17767">
              <w:rPr>
                <w:noProof/>
                <w:webHidden/>
              </w:rPr>
              <w:fldChar w:fldCharType="begin"/>
            </w:r>
            <w:r w:rsidR="00D17767">
              <w:rPr>
                <w:noProof/>
                <w:webHidden/>
              </w:rPr>
              <w:instrText xml:space="preserve"> PAGEREF _Toc172891747 \h </w:instrText>
            </w:r>
            <w:r w:rsidR="00D17767">
              <w:rPr>
                <w:noProof/>
                <w:webHidden/>
              </w:rPr>
            </w:r>
            <w:r w:rsidR="00D17767">
              <w:rPr>
                <w:noProof/>
                <w:webHidden/>
              </w:rPr>
              <w:fldChar w:fldCharType="separate"/>
            </w:r>
            <w:r w:rsidR="00F86C54">
              <w:rPr>
                <w:noProof/>
                <w:webHidden/>
              </w:rPr>
              <w:t>7</w:t>
            </w:r>
            <w:r w:rsidR="00D17767">
              <w:rPr>
                <w:noProof/>
                <w:webHidden/>
              </w:rPr>
              <w:fldChar w:fldCharType="end"/>
            </w:r>
          </w:hyperlink>
        </w:p>
        <w:p w:rsidR="00D17767" w:rsidRDefault="00E41E05" w14:paraId="528252C3" w14:textId="4B8ED080">
          <w:pPr>
            <w:pStyle w:val="TOC1"/>
            <w:rPr>
              <w:rFonts w:asciiTheme="minorHAnsi" w:hAnsiTheme="minorHAnsi" w:cstheme="minorBidi"/>
              <w:noProof/>
              <w:kern w:val="2"/>
              <w:sz w:val="24"/>
              <w:szCs w:val="24"/>
              <w:lang w:val="en-GB" w:eastAsia="en-GB"/>
              <w14:ligatures w14:val="standardContextual"/>
            </w:rPr>
          </w:pPr>
          <w:hyperlink w:history="1" w:anchor="_Toc172891748">
            <w:r w:rsidRPr="00951C1A" w:rsidR="00D17767">
              <w:rPr>
                <w:rStyle w:val="Hyperlink"/>
                <w:noProof/>
              </w:rPr>
              <w:t>5</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Determining admissions decisions, under Devolved Powers</w:t>
            </w:r>
            <w:r w:rsidR="00D17767">
              <w:rPr>
                <w:noProof/>
                <w:webHidden/>
              </w:rPr>
              <w:tab/>
            </w:r>
            <w:r w:rsidR="00D17767">
              <w:rPr>
                <w:noProof/>
                <w:webHidden/>
              </w:rPr>
              <w:fldChar w:fldCharType="begin"/>
            </w:r>
            <w:r w:rsidR="00D17767">
              <w:rPr>
                <w:noProof/>
                <w:webHidden/>
              </w:rPr>
              <w:instrText xml:space="preserve"> PAGEREF _Toc172891748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6CADE704" w14:textId="7394755A">
          <w:pPr>
            <w:pStyle w:val="TOC2"/>
            <w:rPr>
              <w:rFonts w:asciiTheme="minorHAnsi" w:hAnsiTheme="minorHAnsi" w:cstheme="minorBidi"/>
              <w:noProof/>
              <w:kern w:val="2"/>
              <w:sz w:val="24"/>
              <w:szCs w:val="24"/>
              <w:lang w:val="en-GB" w:eastAsia="en-GB"/>
              <w14:ligatures w14:val="standardContextual"/>
            </w:rPr>
          </w:pPr>
          <w:hyperlink w:history="1" w:anchor="_Toc172891749">
            <w:r w:rsidRPr="00951C1A" w:rsidR="00D17767">
              <w:rPr>
                <w:rStyle w:val="Hyperlink"/>
                <w:noProof/>
              </w:rPr>
              <w:t>Application and Offer Methodology</w:t>
            </w:r>
            <w:r w:rsidR="00D17767">
              <w:rPr>
                <w:noProof/>
                <w:webHidden/>
              </w:rPr>
              <w:tab/>
            </w:r>
            <w:r w:rsidR="00D17767">
              <w:rPr>
                <w:noProof/>
                <w:webHidden/>
              </w:rPr>
              <w:fldChar w:fldCharType="begin"/>
            </w:r>
            <w:r w:rsidR="00D17767">
              <w:rPr>
                <w:noProof/>
                <w:webHidden/>
              </w:rPr>
              <w:instrText xml:space="preserve"> PAGEREF _Toc172891749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66847F09" w14:textId="7E714778">
          <w:pPr>
            <w:pStyle w:val="TOC2"/>
            <w:rPr>
              <w:rFonts w:asciiTheme="minorHAnsi" w:hAnsiTheme="minorHAnsi" w:cstheme="minorBidi"/>
              <w:noProof/>
              <w:kern w:val="2"/>
              <w:sz w:val="24"/>
              <w:szCs w:val="24"/>
              <w:lang w:val="en-GB" w:eastAsia="en-GB"/>
              <w14:ligatures w14:val="standardContextual"/>
            </w:rPr>
          </w:pPr>
          <w:hyperlink w:history="1" w:anchor="_Toc172891750">
            <w:r w:rsidRPr="00951C1A" w:rsidR="00D17767">
              <w:rPr>
                <w:rStyle w:val="Hyperlink"/>
                <w:noProof/>
              </w:rPr>
              <w:t>Programme approval</w:t>
            </w:r>
            <w:r w:rsidR="00D17767">
              <w:rPr>
                <w:noProof/>
                <w:webHidden/>
              </w:rPr>
              <w:tab/>
            </w:r>
            <w:r w:rsidR="00D17767">
              <w:rPr>
                <w:noProof/>
                <w:webHidden/>
              </w:rPr>
              <w:fldChar w:fldCharType="begin"/>
            </w:r>
            <w:r w:rsidR="00D17767">
              <w:rPr>
                <w:noProof/>
                <w:webHidden/>
              </w:rPr>
              <w:instrText xml:space="preserve"> PAGEREF _Toc172891750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040A5C68" w14:textId="1B0589E2">
          <w:pPr>
            <w:pStyle w:val="TOC2"/>
            <w:rPr>
              <w:rFonts w:asciiTheme="minorHAnsi" w:hAnsiTheme="minorHAnsi" w:cstheme="minorBidi"/>
              <w:noProof/>
              <w:kern w:val="2"/>
              <w:sz w:val="24"/>
              <w:szCs w:val="24"/>
              <w:lang w:val="en-GB" w:eastAsia="en-GB"/>
              <w14:ligatures w14:val="standardContextual"/>
            </w:rPr>
          </w:pPr>
          <w:hyperlink w:history="1" w:anchor="_Toc172891751">
            <w:r w:rsidRPr="00951C1A" w:rsidR="00D17767">
              <w:rPr>
                <w:rStyle w:val="Hyperlink"/>
                <w:noProof/>
              </w:rPr>
              <w:t>Admissions tutors</w:t>
            </w:r>
            <w:r w:rsidR="00D17767">
              <w:rPr>
                <w:noProof/>
                <w:webHidden/>
              </w:rPr>
              <w:tab/>
            </w:r>
            <w:r w:rsidR="00D17767">
              <w:rPr>
                <w:noProof/>
                <w:webHidden/>
              </w:rPr>
              <w:fldChar w:fldCharType="begin"/>
            </w:r>
            <w:r w:rsidR="00D17767">
              <w:rPr>
                <w:noProof/>
                <w:webHidden/>
              </w:rPr>
              <w:instrText xml:space="preserve"> PAGEREF _Toc172891751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1C87B6FC" w14:textId="786C4956">
          <w:pPr>
            <w:pStyle w:val="TOC2"/>
            <w:rPr>
              <w:rFonts w:asciiTheme="minorHAnsi" w:hAnsiTheme="minorHAnsi" w:cstheme="minorBidi"/>
              <w:noProof/>
              <w:kern w:val="2"/>
              <w:sz w:val="24"/>
              <w:szCs w:val="24"/>
              <w:lang w:val="en-GB" w:eastAsia="en-GB"/>
              <w14:ligatures w14:val="standardContextual"/>
            </w:rPr>
          </w:pPr>
          <w:hyperlink w:history="1" w:anchor="_Toc172891752">
            <w:r w:rsidRPr="00951C1A" w:rsidR="00D17767">
              <w:rPr>
                <w:rStyle w:val="Hyperlink"/>
                <w:noProof/>
              </w:rPr>
              <w:t>Admissions decisions</w:t>
            </w:r>
            <w:r w:rsidR="00D17767">
              <w:rPr>
                <w:noProof/>
                <w:webHidden/>
              </w:rPr>
              <w:tab/>
            </w:r>
            <w:r w:rsidR="00D17767">
              <w:rPr>
                <w:noProof/>
                <w:webHidden/>
              </w:rPr>
              <w:fldChar w:fldCharType="begin"/>
            </w:r>
            <w:r w:rsidR="00D17767">
              <w:rPr>
                <w:noProof/>
                <w:webHidden/>
              </w:rPr>
              <w:instrText xml:space="preserve"> PAGEREF _Toc172891752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1D8393AD" w14:textId="3986A90E">
          <w:pPr>
            <w:pStyle w:val="TOC2"/>
            <w:rPr>
              <w:rFonts w:asciiTheme="minorHAnsi" w:hAnsiTheme="minorHAnsi" w:cstheme="minorBidi"/>
              <w:noProof/>
              <w:kern w:val="2"/>
              <w:sz w:val="24"/>
              <w:szCs w:val="24"/>
              <w:lang w:val="en-GB" w:eastAsia="en-GB"/>
              <w14:ligatures w14:val="standardContextual"/>
            </w:rPr>
          </w:pPr>
          <w:hyperlink w:history="1" w:anchor="_Toc172891753">
            <w:r w:rsidRPr="00951C1A" w:rsidR="00D17767">
              <w:rPr>
                <w:rStyle w:val="Hyperlink"/>
                <w:noProof/>
              </w:rPr>
              <w:t>Applications which meet the entry requirements</w:t>
            </w:r>
            <w:r w:rsidR="00D17767">
              <w:rPr>
                <w:noProof/>
                <w:webHidden/>
              </w:rPr>
              <w:tab/>
            </w:r>
            <w:r w:rsidR="00D17767">
              <w:rPr>
                <w:noProof/>
                <w:webHidden/>
              </w:rPr>
              <w:fldChar w:fldCharType="begin"/>
            </w:r>
            <w:r w:rsidR="00D17767">
              <w:rPr>
                <w:noProof/>
                <w:webHidden/>
              </w:rPr>
              <w:instrText xml:space="preserve"> PAGEREF _Toc172891753 \h </w:instrText>
            </w:r>
            <w:r w:rsidR="00D17767">
              <w:rPr>
                <w:noProof/>
                <w:webHidden/>
              </w:rPr>
            </w:r>
            <w:r w:rsidR="00D17767">
              <w:rPr>
                <w:noProof/>
                <w:webHidden/>
              </w:rPr>
              <w:fldChar w:fldCharType="separate"/>
            </w:r>
            <w:r w:rsidR="00F86C54">
              <w:rPr>
                <w:noProof/>
                <w:webHidden/>
              </w:rPr>
              <w:t>8</w:t>
            </w:r>
            <w:r w:rsidR="00D17767">
              <w:rPr>
                <w:noProof/>
                <w:webHidden/>
              </w:rPr>
              <w:fldChar w:fldCharType="end"/>
            </w:r>
          </w:hyperlink>
        </w:p>
        <w:p w:rsidR="00D17767" w:rsidRDefault="00E41E05" w14:paraId="5BC51B2E" w14:textId="048BF935">
          <w:pPr>
            <w:pStyle w:val="TOC2"/>
            <w:rPr>
              <w:rFonts w:asciiTheme="minorHAnsi" w:hAnsiTheme="minorHAnsi" w:cstheme="minorBidi"/>
              <w:noProof/>
              <w:kern w:val="2"/>
              <w:sz w:val="24"/>
              <w:szCs w:val="24"/>
              <w:lang w:val="en-GB" w:eastAsia="en-GB"/>
              <w14:ligatures w14:val="standardContextual"/>
            </w:rPr>
          </w:pPr>
          <w:hyperlink w:history="1" w:anchor="_Toc172891754">
            <w:r w:rsidRPr="00951C1A" w:rsidR="00D17767">
              <w:rPr>
                <w:rStyle w:val="Hyperlink"/>
                <w:noProof/>
              </w:rPr>
              <w:t>Applications which do not meet the entry requirements</w:t>
            </w:r>
            <w:r w:rsidR="00D17767">
              <w:rPr>
                <w:noProof/>
                <w:webHidden/>
              </w:rPr>
              <w:tab/>
            </w:r>
            <w:r w:rsidR="00D17767">
              <w:rPr>
                <w:noProof/>
                <w:webHidden/>
              </w:rPr>
              <w:fldChar w:fldCharType="begin"/>
            </w:r>
            <w:r w:rsidR="00D17767">
              <w:rPr>
                <w:noProof/>
                <w:webHidden/>
              </w:rPr>
              <w:instrText xml:space="preserve"> PAGEREF _Toc172891754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33B08A8E" w14:textId="394CC59E">
          <w:pPr>
            <w:pStyle w:val="TOC2"/>
            <w:rPr>
              <w:rFonts w:asciiTheme="minorHAnsi" w:hAnsiTheme="minorHAnsi" w:cstheme="minorBidi"/>
              <w:noProof/>
              <w:kern w:val="2"/>
              <w:sz w:val="24"/>
              <w:szCs w:val="24"/>
              <w:lang w:val="en-GB" w:eastAsia="en-GB"/>
              <w14:ligatures w14:val="standardContextual"/>
            </w:rPr>
          </w:pPr>
          <w:hyperlink w:history="1" w:anchor="_Toc172891755">
            <w:r w:rsidRPr="00951C1A" w:rsidR="00D17767">
              <w:rPr>
                <w:rStyle w:val="Hyperlink"/>
                <w:noProof/>
              </w:rPr>
              <w:t>Applications by international students</w:t>
            </w:r>
            <w:r w:rsidR="00D17767">
              <w:rPr>
                <w:noProof/>
                <w:webHidden/>
              </w:rPr>
              <w:tab/>
            </w:r>
            <w:r w:rsidR="00D17767">
              <w:rPr>
                <w:noProof/>
                <w:webHidden/>
              </w:rPr>
              <w:fldChar w:fldCharType="begin"/>
            </w:r>
            <w:r w:rsidR="00D17767">
              <w:rPr>
                <w:noProof/>
                <w:webHidden/>
              </w:rPr>
              <w:instrText xml:space="preserve"> PAGEREF _Toc172891755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16C03112" w14:textId="5F9A42D6">
          <w:pPr>
            <w:pStyle w:val="TOC2"/>
            <w:rPr>
              <w:rFonts w:asciiTheme="minorHAnsi" w:hAnsiTheme="minorHAnsi" w:cstheme="minorBidi"/>
              <w:noProof/>
              <w:kern w:val="2"/>
              <w:sz w:val="24"/>
              <w:szCs w:val="24"/>
              <w:lang w:val="en-GB" w:eastAsia="en-GB"/>
              <w14:ligatures w14:val="standardContextual"/>
            </w:rPr>
          </w:pPr>
          <w:hyperlink w:history="1" w:anchor="_Toc172891756">
            <w:r w:rsidRPr="00951C1A" w:rsidR="00D17767">
              <w:rPr>
                <w:rStyle w:val="Hyperlink"/>
                <w:noProof/>
              </w:rPr>
              <w:t>Applications for ‘advanced standing’</w:t>
            </w:r>
            <w:r w:rsidR="00D17767">
              <w:rPr>
                <w:noProof/>
                <w:webHidden/>
              </w:rPr>
              <w:tab/>
            </w:r>
            <w:r w:rsidR="00D17767">
              <w:rPr>
                <w:noProof/>
                <w:webHidden/>
              </w:rPr>
              <w:fldChar w:fldCharType="begin"/>
            </w:r>
            <w:r w:rsidR="00D17767">
              <w:rPr>
                <w:noProof/>
                <w:webHidden/>
              </w:rPr>
              <w:instrText xml:space="preserve"> PAGEREF _Toc172891756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66273DF4" w14:textId="01D48742">
          <w:pPr>
            <w:pStyle w:val="TOC2"/>
            <w:rPr>
              <w:rFonts w:asciiTheme="minorHAnsi" w:hAnsiTheme="minorHAnsi" w:cstheme="minorBidi"/>
              <w:noProof/>
              <w:kern w:val="2"/>
              <w:sz w:val="24"/>
              <w:szCs w:val="24"/>
              <w:lang w:val="en-GB" w:eastAsia="en-GB"/>
              <w14:ligatures w14:val="standardContextual"/>
            </w:rPr>
          </w:pPr>
          <w:hyperlink w:history="1" w:anchor="_Toc172891757">
            <w:r w:rsidRPr="00951C1A" w:rsidR="00D17767">
              <w:rPr>
                <w:rStyle w:val="Hyperlink"/>
                <w:noProof/>
              </w:rPr>
              <w:t>Applications after the commencement of the programme</w:t>
            </w:r>
            <w:r w:rsidR="00D17767">
              <w:rPr>
                <w:noProof/>
                <w:webHidden/>
              </w:rPr>
              <w:tab/>
            </w:r>
            <w:r w:rsidR="00D17767">
              <w:rPr>
                <w:noProof/>
                <w:webHidden/>
              </w:rPr>
              <w:fldChar w:fldCharType="begin"/>
            </w:r>
            <w:r w:rsidR="00D17767">
              <w:rPr>
                <w:noProof/>
                <w:webHidden/>
              </w:rPr>
              <w:instrText xml:space="preserve"> PAGEREF _Toc172891757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0A809F3F" w14:textId="4DF8DADA">
          <w:pPr>
            <w:pStyle w:val="TOC2"/>
            <w:rPr>
              <w:rFonts w:asciiTheme="minorHAnsi" w:hAnsiTheme="minorHAnsi" w:cstheme="minorBidi"/>
              <w:noProof/>
              <w:kern w:val="2"/>
              <w:sz w:val="24"/>
              <w:szCs w:val="24"/>
              <w:lang w:val="en-GB" w:eastAsia="en-GB"/>
              <w14:ligatures w14:val="standardContextual"/>
            </w:rPr>
          </w:pPr>
          <w:hyperlink w:history="1" w:anchor="_Toc172891758">
            <w:r w:rsidRPr="00951C1A" w:rsidR="00D17767">
              <w:rPr>
                <w:rStyle w:val="Hyperlink"/>
                <w:noProof/>
              </w:rPr>
              <w:t>Conditional offers</w:t>
            </w:r>
            <w:r w:rsidR="00D17767">
              <w:rPr>
                <w:noProof/>
                <w:webHidden/>
              </w:rPr>
              <w:tab/>
            </w:r>
            <w:r w:rsidR="00D17767">
              <w:rPr>
                <w:noProof/>
                <w:webHidden/>
              </w:rPr>
              <w:fldChar w:fldCharType="begin"/>
            </w:r>
            <w:r w:rsidR="00D17767">
              <w:rPr>
                <w:noProof/>
                <w:webHidden/>
              </w:rPr>
              <w:instrText xml:space="preserve"> PAGEREF _Toc172891758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0369F30E" w14:textId="20763F5A">
          <w:pPr>
            <w:pStyle w:val="TOC2"/>
            <w:rPr>
              <w:rFonts w:asciiTheme="minorHAnsi" w:hAnsiTheme="minorHAnsi" w:cstheme="minorBidi"/>
              <w:noProof/>
              <w:kern w:val="2"/>
              <w:sz w:val="24"/>
              <w:szCs w:val="24"/>
              <w:lang w:val="en-GB" w:eastAsia="en-GB"/>
              <w14:ligatures w14:val="standardContextual"/>
            </w:rPr>
          </w:pPr>
          <w:hyperlink w:history="1" w:anchor="_Toc172891759">
            <w:r w:rsidRPr="00951C1A" w:rsidR="00D17767">
              <w:rPr>
                <w:rStyle w:val="Hyperlink"/>
                <w:noProof/>
              </w:rPr>
              <w:t>Record-keeping</w:t>
            </w:r>
            <w:r w:rsidR="00D17767">
              <w:rPr>
                <w:noProof/>
                <w:webHidden/>
              </w:rPr>
              <w:tab/>
            </w:r>
            <w:r w:rsidR="00D17767">
              <w:rPr>
                <w:noProof/>
                <w:webHidden/>
              </w:rPr>
              <w:fldChar w:fldCharType="begin"/>
            </w:r>
            <w:r w:rsidR="00D17767">
              <w:rPr>
                <w:noProof/>
                <w:webHidden/>
              </w:rPr>
              <w:instrText xml:space="preserve"> PAGEREF _Toc172891759 \h </w:instrText>
            </w:r>
            <w:r w:rsidR="00D17767">
              <w:rPr>
                <w:noProof/>
                <w:webHidden/>
              </w:rPr>
            </w:r>
            <w:r w:rsidR="00D17767">
              <w:rPr>
                <w:noProof/>
                <w:webHidden/>
              </w:rPr>
              <w:fldChar w:fldCharType="separate"/>
            </w:r>
            <w:r w:rsidR="00F86C54">
              <w:rPr>
                <w:noProof/>
                <w:webHidden/>
              </w:rPr>
              <w:t>9</w:t>
            </w:r>
            <w:r w:rsidR="00D17767">
              <w:rPr>
                <w:noProof/>
                <w:webHidden/>
              </w:rPr>
              <w:fldChar w:fldCharType="end"/>
            </w:r>
          </w:hyperlink>
        </w:p>
        <w:p w:rsidR="00D17767" w:rsidRDefault="00E41E05" w14:paraId="129E1849" w14:textId="2FC34D90">
          <w:pPr>
            <w:pStyle w:val="TOC1"/>
            <w:rPr>
              <w:rFonts w:asciiTheme="minorHAnsi" w:hAnsiTheme="minorHAnsi" w:cstheme="minorBidi"/>
              <w:noProof/>
              <w:kern w:val="2"/>
              <w:sz w:val="24"/>
              <w:szCs w:val="24"/>
              <w:lang w:val="en-GB" w:eastAsia="en-GB"/>
              <w14:ligatures w14:val="standardContextual"/>
            </w:rPr>
          </w:pPr>
          <w:hyperlink w:history="1" w:anchor="_Toc172891760">
            <w:r w:rsidRPr="00951C1A" w:rsidR="00D17767">
              <w:rPr>
                <w:rStyle w:val="Hyperlink"/>
                <w:noProof/>
              </w:rPr>
              <w:t>6</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Monitoring of Compliance of the approved Powers</w:t>
            </w:r>
            <w:r w:rsidR="00D17767">
              <w:rPr>
                <w:noProof/>
                <w:webHidden/>
              </w:rPr>
              <w:tab/>
            </w:r>
            <w:r w:rsidR="00D17767">
              <w:rPr>
                <w:noProof/>
                <w:webHidden/>
              </w:rPr>
              <w:fldChar w:fldCharType="begin"/>
            </w:r>
            <w:r w:rsidR="00D17767">
              <w:rPr>
                <w:noProof/>
                <w:webHidden/>
              </w:rPr>
              <w:instrText xml:space="preserve"> PAGEREF _Toc172891760 \h </w:instrText>
            </w:r>
            <w:r w:rsidR="00D17767">
              <w:rPr>
                <w:noProof/>
                <w:webHidden/>
              </w:rPr>
            </w:r>
            <w:r w:rsidR="00D17767">
              <w:rPr>
                <w:noProof/>
                <w:webHidden/>
              </w:rPr>
              <w:fldChar w:fldCharType="separate"/>
            </w:r>
            <w:r w:rsidR="00F86C54">
              <w:rPr>
                <w:noProof/>
                <w:webHidden/>
              </w:rPr>
              <w:t>10</w:t>
            </w:r>
            <w:r w:rsidR="00D17767">
              <w:rPr>
                <w:noProof/>
                <w:webHidden/>
              </w:rPr>
              <w:fldChar w:fldCharType="end"/>
            </w:r>
          </w:hyperlink>
        </w:p>
        <w:p w:rsidR="00D17767" w:rsidRDefault="00E41E05" w14:paraId="561664D6" w14:textId="6291C4D1">
          <w:pPr>
            <w:pStyle w:val="TOC2"/>
            <w:rPr>
              <w:rFonts w:asciiTheme="minorHAnsi" w:hAnsiTheme="minorHAnsi" w:cstheme="minorBidi"/>
              <w:noProof/>
              <w:kern w:val="2"/>
              <w:sz w:val="24"/>
              <w:szCs w:val="24"/>
              <w:lang w:val="en-GB" w:eastAsia="en-GB"/>
              <w14:ligatures w14:val="standardContextual"/>
            </w:rPr>
          </w:pPr>
          <w:hyperlink w:history="1" w:anchor="_Toc172891761">
            <w:r w:rsidRPr="00951C1A" w:rsidR="00D17767">
              <w:rPr>
                <w:rStyle w:val="Hyperlink"/>
                <w:noProof/>
              </w:rPr>
              <w:t>Annual Review</w:t>
            </w:r>
            <w:r w:rsidR="00D17767">
              <w:rPr>
                <w:noProof/>
                <w:webHidden/>
              </w:rPr>
              <w:tab/>
            </w:r>
            <w:r w:rsidR="00D17767">
              <w:rPr>
                <w:noProof/>
                <w:webHidden/>
              </w:rPr>
              <w:fldChar w:fldCharType="begin"/>
            </w:r>
            <w:r w:rsidR="00D17767">
              <w:rPr>
                <w:noProof/>
                <w:webHidden/>
              </w:rPr>
              <w:instrText xml:space="preserve"> PAGEREF _Toc172891761 \h </w:instrText>
            </w:r>
            <w:r w:rsidR="00D17767">
              <w:rPr>
                <w:noProof/>
                <w:webHidden/>
              </w:rPr>
            </w:r>
            <w:r w:rsidR="00D17767">
              <w:rPr>
                <w:noProof/>
                <w:webHidden/>
              </w:rPr>
              <w:fldChar w:fldCharType="separate"/>
            </w:r>
            <w:r w:rsidR="00F86C54">
              <w:rPr>
                <w:noProof/>
                <w:webHidden/>
              </w:rPr>
              <w:t>10</w:t>
            </w:r>
            <w:r w:rsidR="00D17767">
              <w:rPr>
                <w:noProof/>
                <w:webHidden/>
              </w:rPr>
              <w:fldChar w:fldCharType="end"/>
            </w:r>
          </w:hyperlink>
        </w:p>
        <w:p w:rsidR="00D17767" w:rsidRDefault="00E41E05" w14:paraId="3427480D" w14:textId="77A9AD7C">
          <w:pPr>
            <w:pStyle w:val="TOC2"/>
            <w:rPr>
              <w:rFonts w:asciiTheme="minorHAnsi" w:hAnsiTheme="minorHAnsi" w:cstheme="minorBidi"/>
              <w:noProof/>
              <w:kern w:val="2"/>
              <w:sz w:val="24"/>
              <w:szCs w:val="24"/>
              <w:lang w:val="en-GB" w:eastAsia="en-GB"/>
              <w14:ligatures w14:val="standardContextual"/>
            </w:rPr>
          </w:pPr>
          <w:hyperlink w:history="1" w:anchor="_Toc172891762">
            <w:r w:rsidRPr="00951C1A" w:rsidR="00D17767">
              <w:rPr>
                <w:rStyle w:val="Hyperlink"/>
                <w:noProof/>
              </w:rPr>
              <w:t>Withdrawal of authority to make admissions decisions</w:t>
            </w:r>
            <w:r w:rsidR="00D17767">
              <w:rPr>
                <w:noProof/>
                <w:webHidden/>
              </w:rPr>
              <w:tab/>
            </w:r>
            <w:r w:rsidR="00D17767">
              <w:rPr>
                <w:noProof/>
                <w:webHidden/>
              </w:rPr>
              <w:fldChar w:fldCharType="begin"/>
            </w:r>
            <w:r w:rsidR="00D17767">
              <w:rPr>
                <w:noProof/>
                <w:webHidden/>
              </w:rPr>
              <w:instrText xml:space="preserve"> PAGEREF _Toc172891762 \h </w:instrText>
            </w:r>
            <w:r w:rsidR="00D17767">
              <w:rPr>
                <w:noProof/>
                <w:webHidden/>
              </w:rPr>
            </w:r>
            <w:r w:rsidR="00D17767">
              <w:rPr>
                <w:noProof/>
                <w:webHidden/>
              </w:rPr>
              <w:fldChar w:fldCharType="separate"/>
            </w:r>
            <w:r w:rsidR="00F86C54">
              <w:rPr>
                <w:noProof/>
                <w:webHidden/>
              </w:rPr>
              <w:t>10</w:t>
            </w:r>
            <w:r w:rsidR="00D17767">
              <w:rPr>
                <w:noProof/>
                <w:webHidden/>
              </w:rPr>
              <w:fldChar w:fldCharType="end"/>
            </w:r>
          </w:hyperlink>
        </w:p>
        <w:p w:rsidR="00F24D55" w:rsidP="00F86C54" w:rsidRDefault="00E41E05" w14:paraId="79CE4072" w14:textId="4918087B">
          <w:pPr>
            <w:pStyle w:val="TOC1"/>
          </w:pPr>
          <w:hyperlink w:history="1" w:anchor="_Toc172891763">
            <w:r w:rsidRPr="00951C1A" w:rsidR="00D17767">
              <w:rPr>
                <w:rStyle w:val="Hyperlink"/>
                <w:noProof/>
              </w:rPr>
              <w:t>7</w:t>
            </w:r>
            <w:r w:rsidR="00D17767">
              <w:rPr>
                <w:rFonts w:asciiTheme="minorHAnsi" w:hAnsiTheme="minorHAnsi" w:cstheme="minorBidi"/>
                <w:noProof/>
                <w:kern w:val="2"/>
                <w:sz w:val="24"/>
                <w:szCs w:val="24"/>
                <w:lang w:val="en-GB" w:eastAsia="en-GB"/>
                <w14:ligatures w14:val="standardContextual"/>
              </w:rPr>
              <w:tab/>
            </w:r>
            <w:r w:rsidRPr="00951C1A" w:rsidR="00D17767">
              <w:rPr>
                <w:rStyle w:val="Hyperlink"/>
                <w:noProof/>
              </w:rPr>
              <w:t>Version control</w:t>
            </w:r>
            <w:r w:rsidR="00D17767">
              <w:rPr>
                <w:noProof/>
                <w:webHidden/>
              </w:rPr>
              <w:tab/>
            </w:r>
            <w:r w:rsidR="00D17767">
              <w:rPr>
                <w:noProof/>
                <w:webHidden/>
              </w:rPr>
              <w:fldChar w:fldCharType="begin"/>
            </w:r>
            <w:r w:rsidR="00D17767">
              <w:rPr>
                <w:noProof/>
                <w:webHidden/>
              </w:rPr>
              <w:instrText xml:space="preserve"> PAGEREF _Toc172891763 \h </w:instrText>
            </w:r>
            <w:r w:rsidR="00D17767">
              <w:rPr>
                <w:noProof/>
                <w:webHidden/>
              </w:rPr>
            </w:r>
            <w:r w:rsidR="00D17767">
              <w:rPr>
                <w:noProof/>
                <w:webHidden/>
              </w:rPr>
              <w:fldChar w:fldCharType="separate"/>
            </w:r>
            <w:r w:rsidR="00F86C54">
              <w:rPr>
                <w:noProof/>
                <w:webHidden/>
              </w:rPr>
              <w:t>11</w:t>
            </w:r>
            <w:r w:rsidR="00D17767">
              <w:rPr>
                <w:noProof/>
                <w:webHidden/>
              </w:rPr>
              <w:fldChar w:fldCharType="end"/>
            </w:r>
          </w:hyperlink>
          <w:r w:rsidRPr="009500FF" w:rsidR="00F24D55">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3169AC" w14:paraId="1027AF12" w14:textId="24067AE5">
          <w:pPr>
            <w:pStyle w:val="PolicyTitle"/>
            <w:spacing w:after="360" w:line="240" w:lineRule="auto"/>
            <w:rPr>
              <w:sz w:val="36"/>
              <w:szCs w:val="36"/>
            </w:rPr>
          </w:pPr>
          <w:r>
            <w:t>Devolution of Admissions Decisions to Partner Institutions offering Collaborative Programmes</w:t>
          </w:r>
        </w:p>
      </w:sdtContent>
    </w:sdt>
    <w:p w:rsidR="00BC5840" w:rsidP="00BC5840" w:rsidRDefault="005A6998" w14:paraId="1470D4D5" w14:textId="37903655">
      <w:pPr>
        <w:pStyle w:val="Heading1"/>
      </w:pPr>
      <w:bookmarkStart w:name="_Toc172891730" w:id="0"/>
      <w:r w:rsidRPr="00780B17">
        <w:t>Introduction</w:t>
      </w:r>
      <w:bookmarkEnd w:id="0"/>
    </w:p>
    <w:p w:rsidRPr="00626BCD" w:rsidR="00626BCD" w:rsidP="00626BCD" w:rsidRDefault="00626BCD" w14:paraId="4BE02E02" w14:textId="7B9EDC32">
      <w:pPr>
        <w:pStyle w:val="Heading2"/>
        <w:numPr>
          <w:ilvl w:val="0"/>
          <w:numId w:val="0"/>
        </w:numPr>
        <w:ind w:left="680"/>
      </w:pPr>
      <w:bookmarkStart w:name="_Toc172891731" w:id="1"/>
      <w:r>
        <w:t>Key Principles</w:t>
      </w:r>
      <w:bookmarkEnd w:id="1"/>
    </w:p>
    <w:p w:rsidRPr="00626BCD" w:rsidR="00626BCD" w:rsidP="00626BCD" w:rsidRDefault="00626BCD" w14:paraId="2D8E0564" w14:textId="7143AA10">
      <w:pPr>
        <w:pStyle w:val="MainBullet"/>
        <w:rPr>
          <w:lang w:val="en-GB" w:eastAsia="zh-CN"/>
        </w:rPr>
      </w:pPr>
      <w:r w:rsidRPr="00626BCD">
        <w:rPr>
          <w:lang w:val="en-GB" w:eastAsia="zh-CN"/>
        </w:rPr>
        <w:t>This code sets out the process through which the University will delegate authority to make admissions decisions to Partner Institutions, and the responsibilities and duties which</w:t>
      </w:r>
      <w:r w:rsidRPr="00626BCD">
        <w:rPr>
          <w:b/>
          <w:bCs w:val="0"/>
          <w:lang w:val="en-GB" w:eastAsia="zh-CN"/>
        </w:rPr>
        <w:t xml:space="preserve"> must</w:t>
      </w:r>
      <w:r w:rsidRPr="00626BCD">
        <w:rPr>
          <w:lang w:val="en-GB" w:eastAsia="zh-CN"/>
        </w:rPr>
        <w:t xml:space="preserve"> be adhered to by the Partner Institution in the event of such devolution. It seeks to ensure that admissions processes are carried out in a fair, equitable and transparent manner.</w:t>
      </w:r>
    </w:p>
    <w:p w:rsidR="00626BCD" w:rsidP="00626BCD" w:rsidRDefault="00626BCD" w14:paraId="117F4573" w14:textId="77777777">
      <w:pPr>
        <w:pStyle w:val="MainBullet"/>
        <w:rPr>
          <w:lang w:val="en-GB" w:eastAsia="zh-CN"/>
        </w:rPr>
      </w:pPr>
      <w:r w:rsidRPr="00626BCD">
        <w:rPr>
          <w:lang w:val="en-GB" w:eastAsia="zh-CN"/>
        </w:rPr>
        <w:t>For the purposes of this document, where the term ‘student’ is used, this includes apprentices, trainees and any other learner enrolled on a programme validated by the University of Hull, be this internationally or within the UK.</w:t>
      </w:r>
    </w:p>
    <w:p w:rsidRPr="00626BCD" w:rsidR="00626BCD" w:rsidP="00626BCD" w:rsidRDefault="00626BCD" w14:paraId="6E9FD45E" w14:textId="614AE6A5">
      <w:pPr>
        <w:pStyle w:val="MainBullet"/>
        <w:rPr>
          <w:lang w:val="en-GB" w:eastAsia="zh-CN"/>
        </w:rPr>
      </w:pPr>
      <w:r w:rsidRPr="00626BCD">
        <w:rPr>
          <w:lang w:val="en-GB" w:eastAsia="zh-CN"/>
        </w:rPr>
        <w:t>The purpose of this Code of Practice is to define:</w:t>
      </w:r>
    </w:p>
    <w:p w:rsidRPr="00626BCD" w:rsidR="00626BCD" w:rsidP="00626BCD" w:rsidRDefault="00626BCD" w14:paraId="04A31BC7" w14:textId="5A9809C5">
      <w:pPr>
        <w:pStyle w:val="MainBullet"/>
        <w:numPr>
          <w:ilvl w:val="2"/>
          <w:numId w:val="27"/>
        </w:numPr>
        <w:rPr>
          <w:lang w:val="en-GB" w:eastAsia="zh-CN"/>
        </w:rPr>
      </w:pPr>
      <w:r w:rsidRPr="00626BCD">
        <w:rPr>
          <w:lang w:val="en-GB" w:eastAsia="zh-CN"/>
        </w:rPr>
        <w:t>The procedure through which a Partner Institution may apply for authority as above and through which the University will determine whether to grant such authority</w:t>
      </w:r>
      <w:r>
        <w:rPr>
          <w:lang w:val="en-GB" w:eastAsia="zh-CN"/>
        </w:rPr>
        <w:t>.</w:t>
      </w:r>
    </w:p>
    <w:p w:rsidRPr="00626BCD" w:rsidR="00626BCD" w:rsidP="00626BCD" w:rsidRDefault="00626BCD" w14:paraId="006D5E10" w14:textId="15BB9EDD">
      <w:pPr>
        <w:pStyle w:val="MainBullet"/>
        <w:numPr>
          <w:ilvl w:val="2"/>
          <w:numId w:val="27"/>
        </w:numPr>
        <w:rPr>
          <w:lang w:val="en-GB" w:eastAsia="zh-CN"/>
        </w:rPr>
      </w:pPr>
      <w:r w:rsidRPr="00626BCD">
        <w:rPr>
          <w:lang w:val="en-GB" w:eastAsia="zh-CN"/>
        </w:rPr>
        <w:t>The conditions under which the University will devolve to a Partner Institution (PI) the authority to make decisions on the admission of students to programmes validated by the University</w:t>
      </w:r>
      <w:r>
        <w:rPr>
          <w:lang w:val="en-GB" w:eastAsia="zh-CN"/>
        </w:rPr>
        <w:t>.</w:t>
      </w:r>
    </w:p>
    <w:p w:rsidRPr="00626BCD" w:rsidR="00626BCD" w:rsidP="00626BCD" w:rsidRDefault="00626BCD" w14:paraId="7EBE4B33" w14:textId="77777777">
      <w:pPr>
        <w:pStyle w:val="MainBullet"/>
        <w:numPr>
          <w:ilvl w:val="2"/>
          <w:numId w:val="27"/>
        </w:numPr>
        <w:rPr>
          <w:lang w:val="en-GB" w:eastAsia="zh-CN"/>
        </w:rPr>
      </w:pPr>
      <w:r w:rsidRPr="00626BCD">
        <w:rPr>
          <w:lang w:val="en-GB" w:eastAsia="zh-CN"/>
        </w:rPr>
        <w:t>The University’s expectations governing the way in which admissions decisions will be made, recorded and reported, and</w:t>
      </w:r>
    </w:p>
    <w:p w:rsidRPr="00626BCD" w:rsidR="00626BCD" w:rsidP="00626BCD" w:rsidRDefault="00626BCD" w14:paraId="75DFB034" w14:textId="3388C5A2">
      <w:pPr>
        <w:pStyle w:val="MainBullet"/>
        <w:numPr>
          <w:ilvl w:val="2"/>
          <w:numId w:val="27"/>
        </w:numPr>
        <w:rPr>
          <w:lang w:val="en-GB" w:eastAsia="zh-CN"/>
        </w:rPr>
      </w:pPr>
      <w:r w:rsidRPr="00626BCD">
        <w:rPr>
          <w:lang w:val="en-GB" w:eastAsia="zh-CN"/>
        </w:rPr>
        <w:t>The responsibilities for monitoring compliance with the Code.</w:t>
      </w:r>
    </w:p>
    <w:p w:rsidRPr="00626BCD" w:rsidR="00626BCD" w:rsidP="00626BCD" w:rsidRDefault="00626BCD" w14:paraId="2177A43E" w14:textId="77777777">
      <w:pPr>
        <w:pStyle w:val="MainBullet"/>
        <w:rPr>
          <w:lang w:val="en-GB" w:eastAsia="zh-CN"/>
        </w:rPr>
      </w:pPr>
      <w:r w:rsidRPr="00626BCD">
        <w:rPr>
          <w:lang w:val="en-GB" w:eastAsia="zh-CN"/>
        </w:rPr>
        <w:t xml:space="preserve">The University will grant authority to make decisions only in respect of applications which meet published and approved entry requirements for each programme. Applications </w:t>
      </w:r>
      <w:r w:rsidRPr="00626BCD">
        <w:rPr>
          <w:b/>
          <w:bCs w:val="0"/>
          <w:lang w:val="en-GB" w:eastAsia="zh-CN"/>
        </w:rPr>
        <w:t>must</w:t>
      </w:r>
      <w:r w:rsidRPr="00626BCD">
        <w:rPr>
          <w:lang w:val="en-GB" w:eastAsia="zh-CN"/>
        </w:rPr>
        <w:t xml:space="preserve"> be made by Partner Institutions in respect of the entirety of that Partner’s HE provision validated by the University.</w:t>
      </w:r>
    </w:p>
    <w:p w:rsidRPr="00626BCD" w:rsidR="00AD62EF" w:rsidP="00626BCD" w:rsidRDefault="00626BCD" w14:paraId="73A8E4C2" w14:textId="423CCEFD">
      <w:pPr>
        <w:pStyle w:val="MainBullet"/>
        <w:rPr>
          <w:lang w:val="en-GB" w:eastAsia="zh-CN"/>
        </w:rPr>
      </w:pPr>
      <w:r w:rsidRPr="00626BCD">
        <w:rPr>
          <w:lang w:val="en-GB" w:eastAsia="zh-CN"/>
        </w:rPr>
        <w:t>The Code reflects the expectations of the UK Quality Code as well as reflecting the University’s framework for the assurance of quality and maintenance of academic standards as applied to programmes validated by the University.</w:t>
      </w:r>
    </w:p>
    <w:p w:rsidR="00626BCD" w:rsidP="00626BCD" w:rsidRDefault="00626BCD" w14:paraId="72D57BB3" w14:textId="2A8A651B">
      <w:pPr>
        <w:pStyle w:val="Heading1"/>
      </w:pPr>
      <w:bookmarkStart w:name="_Toc172891732" w:id="2"/>
      <w:r w:rsidRPr="00626BCD">
        <w:t>Partner Institution responsibilities</w:t>
      </w:r>
      <w:bookmarkEnd w:id="2"/>
    </w:p>
    <w:p w:rsidRPr="00626BCD" w:rsidR="00626BCD" w:rsidP="00626BCD" w:rsidRDefault="00626BCD" w14:paraId="51BC2526" w14:textId="77777777">
      <w:pPr>
        <w:pStyle w:val="Heading2"/>
        <w:numPr>
          <w:ilvl w:val="0"/>
          <w:numId w:val="0"/>
        </w:numPr>
        <w:ind w:left="680"/>
      </w:pPr>
      <w:bookmarkStart w:name="_Toc172891733" w:id="3"/>
      <w:r w:rsidRPr="00626BCD">
        <w:t>Responsibility for compliance with the Code of Practice</w:t>
      </w:r>
      <w:bookmarkEnd w:id="3"/>
    </w:p>
    <w:p w:rsidRPr="00626BCD" w:rsidR="00626BCD" w:rsidP="00626BCD" w:rsidRDefault="00626BCD" w14:paraId="39EA1179" w14:textId="77777777">
      <w:pPr>
        <w:pStyle w:val="MainBullet"/>
        <w:rPr>
          <w:lang w:val="en-GB" w:eastAsia="zh-CN"/>
        </w:rPr>
      </w:pPr>
      <w:r w:rsidRPr="00626BCD">
        <w:rPr>
          <w:lang w:val="en-GB" w:eastAsia="zh-CN"/>
        </w:rPr>
        <w:t xml:space="preserve">Before submitting an application for devolution, the Partner Institution </w:t>
      </w:r>
      <w:r w:rsidRPr="00AC1BFB">
        <w:rPr>
          <w:b/>
          <w:bCs w:val="0"/>
          <w:lang w:val="en-GB" w:eastAsia="zh-CN"/>
        </w:rPr>
        <w:t>must</w:t>
      </w:r>
      <w:r w:rsidRPr="00626BCD">
        <w:rPr>
          <w:lang w:val="en-GB" w:eastAsia="zh-CN"/>
        </w:rPr>
        <w:t xml:space="preserve"> identify a senior member of staff designated as the responsible officer with appropriate oversight, who will ensure that the Partner Institution’s responsibilities as set out in this Code of Practice are properly and professionally discharged. This may differ from the nominated staff that are able to carry out Partner Institutions’ practices.</w:t>
      </w:r>
    </w:p>
    <w:p w:rsidRPr="00626BCD" w:rsidR="00626BCD" w:rsidP="00626BCD" w:rsidRDefault="00626BCD" w14:paraId="63AD33A9" w14:textId="77777777">
      <w:pPr>
        <w:pStyle w:val="Heading2"/>
        <w:numPr>
          <w:ilvl w:val="0"/>
          <w:numId w:val="0"/>
        </w:numPr>
        <w:ind w:left="680"/>
      </w:pPr>
      <w:bookmarkStart w:name="_Toc172891734" w:id="4"/>
      <w:r w:rsidRPr="00626BCD">
        <w:t>Responsibility for admissions decisions</w:t>
      </w:r>
      <w:bookmarkEnd w:id="4"/>
    </w:p>
    <w:p w:rsidRPr="00626BCD" w:rsidR="00626BCD" w:rsidP="00626BCD" w:rsidRDefault="00626BCD" w14:paraId="5B87C944" w14:textId="45373CA9">
      <w:pPr>
        <w:pStyle w:val="MainBullet"/>
        <w:rPr>
          <w:lang w:val="en-GB" w:eastAsia="zh-CN"/>
        </w:rPr>
      </w:pPr>
      <w:r w:rsidRPr="00626BCD">
        <w:rPr>
          <w:lang w:val="en-GB" w:eastAsia="zh-CN"/>
        </w:rPr>
        <w:t xml:space="preserve">The Partner Institution </w:t>
      </w:r>
      <w:r w:rsidRPr="00AC1BFB">
        <w:rPr>
          <w:b/>
          <w:bCs w:val="0"/>
          <w:lang w:val="en-GB" w:eastAsia="zh-CN"/>
        </w:rPr>
        <w:t>must</w:t>
      </w:r>
      <w:r w:rsidRPr="00626BCD">
        <w:rPr>
          <w:lang w:val="en-GB" w:eastAsia="zh-CN"/>
        </w:rPr>
        <w:t xml:space="preserve"> also identify a senior member of staff – who </w:t>
      </w:r>
      <w:r w:rsidRPr="00AC1BFB">
        <w:rPr>
          <w:b/>
          <w:bCs w:val="0"/>
          <w:lang w:val="en-GB" w:eastAsia="zh-CN"/>
        </w:rPr>
        <w:t>must</w:t>
      </w:r>
      <w:r w:rsidRPr="00626BCD">
        <w:rPr>
          <w:lang w:val="en-GB" w:eastAsia="zh-CN"/>
        </w:rPr>
        <w:t xml:space="preserve"> not be the same person identified in accordance with paragraph 2.1 – who will be responsible for the admissions process, including specifically, having the authority to make written offers to applicants. </w:t>
      </w:r>
    </w:p>
    <w:p w:rsidR="00626BCD" w:rsidP="00626BCD" w:rsidRDefault="00626BCD" w14:paraId="3733E781" w14:textId="77777777">
      <w:pPr>
        <w:pStyle w:val="Heading1"/>
      </w:pPr>
      <w:bookmarkStart w:name="_Toc172891735" w:id="5"/>
      <w:r w:rsidRPr="00626BCD">
        <w:lastRenderedPageBreak/>
        <w:t>Devolution Approval Process</w:t>
      </w:r>
      <w:bookmarkEnd w:id="5"/>
    </w:p>
    <w:p w:rsidRPr="00626BCD" w:rsidR="00626BCD" w:rsidP="00626BCD" w:rsidRDefault="00626BCD" w14:paraId="2640EE8D" w14:textId="77777777">
      <w:pPr>
        <w:pStyle w:val="Heading2"/>
        <w:numPr>
          <w:ilvl w:val="0"/>
          <w:numId w:val="0"/>
        </w:numPr>
        <w:ind w:left="680"/>
      </w:pPr>
      <w:bookmarkStart w:name="_Toc172891736" w:id="6"/>
      <w:r w:rsidRPr="00626BCD">
        <w:t>Step 1 - Submission of the application</w:t>
      </w:r>
      <w:bookmarkEnd w:id="6"/>
    </w:p>
    <w:p w:rsidRPr="00626BCD" w:rsidR="00626BCD" w:rsidP="00626BCD" w:rsidRDefault="00626BCD" w14:paraId="240C5AE3" w14:textId="77777777">
      <w:pPr>
        <w:pStyle w:val="MainBullet"/>
        <w:rPr>
          <w:lang w:val="en-GB" w:eastAsia="zh-CN"/>
        </w:rPr>
      </w:pPr>
      <w:r w:rsidRPr="00626BCD">
        <w:rPr>
          <w:lang w:val="en-GB" w:eastAsia="zh-CN"/>
        </w:rPr>
        <w:t xml:space="preserve"> An application, using </w:t>
      </w:r>
      <w:r w:rsidRPr="00AC1BFB">
        <w:rPr>
          <w:lang w:val="en-GB" w:eastAsia="zh-CN"/>
        </w:rPr>
        <w:t>annexe 1</w:t>
      </w:r>
      <w:r w:rsidRPr="00626BCD">
        <w:rPr>
          <w:lang w:val="en-GB" w:eastAsia="zh-CN"/>
        </w:rPr>
        <w:t xml:space="preserve"> of this Code of Practice, </w:t>
      </w:r>
      <w:r w:rsidRPr="00AC1BFB">
        <w:rPr>
          <w:b/>
          <w:bCs w:val="0"/>
          <w:lang w:val="en-GB" w:eastAsia="zh-CN"/>
        </w:rPr>
        <w:t xml:space="preserve">must </w:t>
      </w:r>
      <w:r w:rsidRPr="00626BCD">
        <w:rPr>
          <w:lang w:val="en-GB" w:eastAsia="zh-CN"/>
        </w:rPr>
        <w:t>be completed, signed by the Principal of the Partner Institution or such person nominated by the responsible office and submitted to Quality Support Service.</w:t>
      </w:r>
    </w:p>
    <w:p w:rsidRPr="00626BCD" w:rsidR="00626BCD" w:rsidP="00626BCD" w:rsidRDefault="00626BCD" w14:paraId="09076AC5" w14:textId="77777777">
      <w:pPr>
        <w:pStyle w:val="MainBullet"/>
        <w:rPr>
          <w:lang w:val="en-GB" w:eastAsia="zh-CN"/>
        </w:rPr>
      </w:pPr>
      <w:r w:rsidRPr="00626BCD">
        <w:rPr>
          <w:lang w:val="en-GB" w:eastAsia="zh-CN"/>
        </w:rPr>
        <w:t xml:space="preserve">The application </w:t>
      </w:r>
      <w:r w:rsidRPr="00AC1BFB">
        <w:rPr>
          <w:b/>
          <w:bCs w:val="0"/>
          <w:lang w:val="en-GB" w:eastAsia="zh-CN"/>
        </w:rPr>
        <w:t>must</w:t>
      </w:r>
      <w:r w:rsidRPr="00626BCD">
        <w:rPr>
          <w:lang w:val="en-GB" w:eastAsia="zh-CN"/>
        </w:rPr>
        <w:t xml:space="preserve"> be supported by the following documentation for approval in their own right:</w:t>
      </w:r>
    </w:p>
    <w:p w:rsidRPr="00626BCD" w:rsidR="00626BCD" w:rsidP="00626BCD" w:rsidRDefault="00626BCD" w14:paraId="7C97B2CC" w14:textId="77900BC0">
      <w:pPr>
        <w:pStyle w:val="MainBullet"/>
        <w:numPr>
          <w:ilvl w:val="2"/>
          <w:numId w:val="27"/>
        </w:numPr>
        <w:rPr>
          <w:lang w:val="en-GB" w:eastAsia="zh-CN"/>
        </w:rPr>
      </w:pPr>
      <w:r>
        <w:rPr>
          <w:lang w:val="en-GB" w:eastAsia="zh-CN"/>
        </w:rPr>
        <w:t>P</w:t>
      </w:r>
      <w:r w:rsidRPr="00626BCD">
        <w:rPr>
          <w:lang w:val="en-GB" w:eastAsia="zh-CN"/>
        </w:rPr>
        <w:t xml:space="preserve">roposed entry requirements for each programme of study currently offered by the Partner Institution and validated by the University. The approved entry requirements will be attached to the formal record. </w:t>
      </w:r>
    </w:p>
    <w:p w:rsidRPr="00626BCD" w:rsidR="00626BCD" w:rsidP="00626BCD" w:rsidRDefault="00626BCD" w14:paraId="62B334E4" w14:textId="19A2B8AA">
      <w:pPr>
        <w:pStyle w:val="MainBullet"/>
        <w:numPr>
          <w:ilvl w:val="2"/>
          <w:numId w:val="27"/>
        </w:numPr>
        <w:rPr>
          <w:lang w:val="en-GB" w:eastAsia="zh-CN"/>
        </w:rPr>
      </w:pPr>
      <w:r>
        <w:rPr>
          <w:lang w:val="en-GB" w:eastAsia="zh-CN"/>
        </w:rPr>
        <w:t>C</w:t>
      </w:r>
      <w:r w:rsidRPr="00626BCD">
        <w:rPr>
          <w:lang w:val="en-GB" w:eastAsia="zh-CN"/>
        </w:rPr>
        <w:t xml:space="preserve">onfirmation of the programmes which will recruit through the Universities and Colleges Admissions Service (UCAS), or an equivalent national admissions service. For programmes which will not recruit through such a service, the Partner Institution </w:t>
      </w:r>
      <w:r w:rsidRPr="00AC1BFB">
        <w:rPr>
          <w:b/>
          <w:bCs w:val="0"/>
          <w:lang w:val="en-GB" w:eastAsia="zh-CN"/>
        </w:rPr>
        <w:t>must</w:t>
      </w:r>
      <w:r w:rsidRPr="00626BCD">
        <w:rPr>
          <w:lang w:val="en-GB" w:eastAsia="zh-CN"/>
        </w:rPr>
        <w:t xml:space="preserve"> submit, for approval, the application form (or forms) which will be made available to prospective students to apply for places on specific programmes of study. The approved form(s) will be attached to the formal record. </w:t>
      </w:r>
    </w:p>
    <w:p w:rsidRPr="00626BCD" w:rsidR="00626BCD" w:rsidP="00626BCD" w:rsidRDefault="00626BCD" w14:paraId="1001078A" w14:textId="2E451492">
      <w:pPr>
        <w:pStyle w:val="MainBullet"/>
        <w:numPr>
          <w:ilvl w:val="2"/>
          <w:numId w:val="27"/>
        </w:numPr>
        <w:rPr>
          <w:lang w:val="en-GB" w:eastAsia="zh-CN"/>
        </w:rPr>
      </w:pPr>
      <w:r>
        <w:rPr>
          <w:lang w:val="en-GB" w:eastAsia="zh-CN"/>
        </w:rPr>
        <w:t>T</w:t>
      </w:r>
      <w:r w:rsidRPr="00626BCD">
        <w:rPr>
          <w:lang w:val="en-GB" w:eastAsia="zh-CN"/>
        </w:rPr>
        <w:t>he necessary correspondence which the Partner Institution will use to make offers to applicants. The approved document will be attached to the formal record.</w:t>
      </w:r>
    </w:p>
    <w:p w:rsidRPr="00626BCD" w:rsidR="00626BCD" w:rsidP="007E3C9C" w:rsidRDefault="00626BCD" w14:paraId="7E1EF2EF" w14:textId="77777777">
      <w:pPr>
        <w:pStyle w:val="Heading2"/>
        <w:numPr>
          <w:ilvl w:val="0"/>
          <w:numId w:val="0"/>
        </w:numPr>
        <w:ind w:left="680"/>
      </w:pPr>
      <w:bookmarkStart w:name="_Toc172891737" w:id="7"/>
      <w:r w:rsidRPr="00626BCD">
        <w:t>Entry requirements</w:t>
      </w:r>
      <w:bookmarkEnd w:id="7"/>
    </w:p>
    <w:p w:rsidRPr="00626BCD" w:rsidR="00626BCD" w:rsidP="00626BCD" w:rsidRDefault="00626BCD" w14:paraId="045AACDE" w14:textId="77777777">
      <w:pPr>
        <w:pStyle w:val="MainBullet"/>
        <w:rPr>
          <w:lang w:val="en-GB" w:eastAsia="zh-CN"/>
        </w:rPr>
      </w:pPr>
      <w:r w:rsidRPr="00626BCD">
        <w:rPr>
          <w:lang w:val="en-GB" w:eastAsia="zh-CN"/>
        </w:rPr>
        <w:t>The Partner will be responsible for ensuring entry requirements remain appropriate and in line with the University’s minimum requirements per level of study.</w:t>
      </w:r>
    </w:p>
    <w:p w:rsidRPr="00626BCD" w:rsidR="00626BCD" w:rsidP="00626BCD" w:rsidRDefault="00626BCD" w14:paraId="25A685CF" w14:textId="77777777">
      <w:pPr>
        <w:pStyle w:val="MainBullet"/>
        <w:rPr>
          <w:lang w:val="en-GB" w:eastAsia="zh-CN"/>
        </w:rPr>
      </w:pPr>
      <w:r w:rsidRPr="00626BCD">
        <w:rPr>
          <w:lang w:val="en-GB" w:eastAsia="zh-CN"/>
        </w:rPr>
        <w:t xml:space="preserve">Entry requirements </w:t>
      </w:r>
      <w:r w:rsidRPr="007E3C9C">
        <w:rPr>
          <w:b/>
          <w:bCs w:val="0"/>
          <w:lang w:val="en-GB" w:eastAsia="zh-CN"/>
        </w:rPr>
        <w:t>must</w:t>
      </w:r>
      <w:r w:rsidRPr="00626BCD">
        <w:rPr>
          <w:lang w:val="en-GB" w:eastAsia="zh-CN"/>
        </w:rPr>
        <w:t xml:space="preserve"> detail any specific category of applicant where admission to the programme might be refused. They </w:t>
      </w:r>
      <w:r w:rsidRPr="00AC1BFB">
        <w:rPr>
          <w:b/>
          <w:bCs w:val="0"/>
          <w:lang w:val="en-GB" w:eastAsia="zh-CN"/>
        </w:rPr>
        <w:t xml:space="preserve">must </w:t>
      </w:r>
      <w:r w:rsidRPr="00626BCD">
        <w:rPr>
          <w:lang w:val="en-GB" w:eastAsia="zh-CN"/>
        </w:rPr>
        <w:t>also be consistent with the University’s minimum requirements for English language proficiency, or the Partner’s own English language policy where these are utilised.</w:t>
      </w:r>
    </w:p>
    <w:p w:rsidRPr="00626BCD" w:rsidR="00626BCD" w:rsidP="007E3C9C" w:rsidRDefault="00626BCD" w14:paraId="006822C8" w14:textId="77777777">
      <w:pPr>
        <w:pStyle w:val="Heading2"/>
        <w:numPr>
          <w:ilvl w:val="0"/>
          <w:numId w:val="0"/>
        </w:numPr>
        <w:ind w:left="680"/>
      </w:pPr>
      <w:bookmarkStart w:name="_Toc172891738" w:id="8"/>
      <w:r w:rsidRPr="00626BCD">
        <w:t>University faculty procedures</w:t>
      </w:r>
      <w:bookmarkEnd w:id="8"/>
    </w:p>
    <w:p w:rsidRPr="00626BCD" w:rsidR="00626BCD" w:rsidP="00626BCD" w:rsidRDefault="00626BCD" w14:paraId="360AF832" w14:textId="3B8604F8">
      <w:pPr>
        <w:pStyle w:val="MainBullet"/>
        <w:rPr>
          <w:lang w:val="en-GB" w:eastAsia="zh-CN"/>
        </w:rPr>
      </w:pPr>
      <w:r w:rsidRPr="00626BCD">
        <w:rPr>
          <w:lang w:val="en-GB" w:eastAsia="zh-CN"/>
        </w:rPr>
        <w:t xml:space="preserve">The admission of students to collaborative programmes under a franchise arrangement may have an impact upon any faculty requirements to an external accrediting or legislative body. In such cases, the application for devolved powers </w:t>
      </w:r>
      <w:r w:rsidRPr="00AC1BFB">
        <w:rPr>
          <w:b/>
          <w:bCs w:val="0"/>
          <w:lang w:val="en-GB" w:eastAsia="zh-CN"/>
        </w:rPr>
        <w:t>must</w:t>
      </w:r>
      <w:r w:rsidRPr="00626BCD">
        <w:rPr>
          <w:lang w:val="en-GB" w:eastAsia="zh-CN"/>
        </w:rPr>
        <w:t xml:space="preserve"> be supported by the relevant faculty, including detailed narrative regarding the nature of such requirements and how compliance towards these will be maintained.</w:t>
      </w:r>
    </w:p>
    <w:p w:rsidRPr="00626BCD" w:rsidR="00626BCD" w:rsidP="007E3C9C" w:rsidRDefault="00626BCD" w14:paraId="0638964C" w14:textId="73AD6BD2">
      <w:pPr>
        <w:pStyle w:val="Heading2"/>
        <w:numPr>
          <w:ilvl w:val="0"/>
          <w:numId w:val="0"/>
        </w:numPr>
        <w:ind w:left="680"/>
      </w:pPr>
      <w:bookmarkStart w:name="_Toc172891739" w:id="9"/>
      <w:r w:rsidRPr="00626BCD">
        <w:t>Step 2 – Consideration of the application</w:t>
      </w:r>
      <w:bookmarkEnd w:id="9"/>
    </w:p>
    <w:p w:rsidR="007E3C9C" w:rsidP="007E3C9C" w:rsidRDefault="00B2503A" w14:paraId="1782121D" w14:textId="621AF3A1">
      <w:pPr>
        <w:pStyle w:val="MainBullet"/>
        <w:rPr>
          <w:lang w:val="en-GB" w:eastAsia="zh-CN"/>
        </w:rPr>
      </w:pPr>
      <w:r>
        <w:rPr>
          <w:lang w:val="en-GB" w:eastAsia="zh-CN"/>
        </w:rPr>
        <w:t xml:space="preserve">The Education Planning Committee (EPC) </w:t>
      </w:r>
      <w:r w:rsidRPr="007E3C9C" w:rsidR="00626BCD">
        <w:rPr>
          <w:b/>
          <w:bCs w:val="0"/>
          <w:lang w:val="en-GB" w:eastAsia="zh-CN"/>
        </w:rPr>
        <w:t xml:space="preserve">must </w:t>
      </w:r>
      <w:r w:rsidRPr="00626BCD" w:rsidR="00626BCD">
        <w:rPr>
          <w:lang w:val="en-GB" w:eastAsia="zh-CN"/>
        </w:rPr>
        <w:t>establish a panel with delegated authority to determine an application.</w:t>
      </w:r>
    </w:p>
    <w:p w:rsidRPr="007E3C9C" w:rsidR="00626BCD" w:rsidP="007E3C9C" w:rsidRDefault="00626BCD" w14:paraId="17FEEED5" w14:textId="188A94FB">
      <w:pPr>
        <w:pStyle w:val="MainBullet"/>
        <w:rPr>
          <w:lang w:val="en-GB" w:eastAsia="zh-CN"/>
        </w:rPr>
      </w:pPr>
      <w:r w:rsidRPr="007E3C9C">
        <w:rPr>
          <w:lang w:val="en-GB" w:eastAsia="zh-CN"/>
        </w:rPr>
        <w:t xml:space="preserve">The membership of the panel shall be approved by the Chair of EPC and </w:t>
      </w:r>
      <w:r w:rsidRPr="00AC1BFB">
        <w:rPr>
          <w:b/>
          <w:bCs w:val="0"/>
          <w:lang w:val="en-GB" w:eastAsia="zh-CN"/>
        </w:rPr>
        <w:t>must</w:t>
      </w:r>
      <w:r w:rsidRPr="007E3C9C">
        <w:rPr>
          <w:lang w:val="en-GB" w:eastAsia="zh-CN"/>
        </w:rPr>
        <w:t xml:space="preserve"> consist of the following: </w:t>
      </w:r>
    </w:p>
    <w:p w:rsidRPr="00626BCD" w:rsidR="00626BCD" w:rsidP="007E3C9C" w:rsidRDefault="00626BCD" w14:paraId="2A1D24D1" w14:textId="77777777">
      <w:pPr>
        <w:pStyle w:val="MainBullet"/>
        <w:numPr>
          <w:ilvl w:val="2"/>
          <w:numId w:val="27"/>
        </w:numPr>
        <w:rPr>
          <w:lang w:val="en-GB" w:eastAsia="zh-CN"/>
        </w:rPr>
      </w:pPr>
      <w:r w:rsidRPr="00626BCD">
        <w:rPr>
          <w:lang w:val="en-GB" w:eastAsia="zh-CN"/>
        </w:rPr>
        <w:t>A member of EPC to act as chair, nominated by the Chair of EPC</w:t>
      </w:r>
    </w:p>
    <w:p w:rsidRPr="00626BCD" w:rsidR="00626BCD" w:rsidP="007E3C9C" w:rsidRDefault="00626BCD" w14:paraId="3B1A2BAF" w14:textId="5F0E510C">
      <w:pPr>
        <w:pStyle w:val="MainBullet"/>
        <w:numPr>
          <w:ilvl w:val="2"/>
          <w:numId w:val="27"/>
        </w:numPr>
        <w:rPr>
          <w:lang w:val="en-GB" w:eastAsia="zh-CN"/>
        </w:rPr>
      </w:pPr>
      <w:r w:rsidRPr="00626BCD">
        <w:rPr>
          <w:lang w:val="en-GB" w:eastAsia="zh-CN"/>
        </w:rPr>
        <w:t>Director of Admissions</w:t>
      </w:r>
      <w:r w:rsidR="007E3C9C">
        <w:rPr>
          <w:lang w:val="en-GB" w:eastAsia="zh-CN"/>
        </w:rPr>
        <w:t>.</w:t>
      </w:r>
    </w:p>
    <w:p w:rsidRPr="00626BCD" w:rsidR="00626BCD" w:rsidP="007E3C9C" w:rsidRDefault="00626BCD" w14:paraId="760AB688" w14:textId="79BB9152">
      <w:pPr>
        <w:pStyle w:val="MainBullet"/>
        <w:numPr>
          <w:ilvl w:val="2"/>
          <w:numId w:val="27"/>
        </w:numPr>
        <w:rPr>
          <w:lang w:val="en-GB" w:eastAsia="zh-CN"/>
        </w:rPr>
      </w:pPr>
      <w:r w:rsidRPr="00626BCD">
        <w:rPr>
          <w:lang w:val="en-GB" w:eastAsia="zh-CN"/>
        </w:rPr>
        <w:t xml:space="preserve">An academic member of </w:t>
      </w:r>
      <w:r w:rsidR="00B2503A">
        <w:rPr>
          <w:lang w:val="en-GB" w:eastAsia="zh-CN"/>
        </w:rPr>
        <w:t>the Collaborative Provisions Committee (</w:t>
      </w:r>
      <w:r w:rsidRPr="00626BCD">
        <w:rPr>
          <w:lang w:val="en-GB" w:eastAsia="zh-CN"/>
        </w:rPr>
        <w:t>CPC</w:t>
      </w:r>
      <w:r w:rsidR="00B2503A">
        <w:rPr>
          <w:lang w:val="en-GB" w:eastAsia="zh-CN"/>
        </w:rPr>
        <w:t>).</w:t>
      </w:r>
    </w:p>
    <w:p w:rsidRPr="007E3C9C" w:rsidR="00626BCD" w:rsidP="007E3C9C" w:rsidRDefault="00626BCD" w14:paraId="4A29A429" w14:textId="2D6BCA71">
      <w:pPr>
        <w:pStyle w:val="MainBullet"/>
        <w:numPr>
          <w:ilvl w:val="2"/>
          <w:numId w:val="27"/>
        </w:numPr>
        <w:rPr>
          <w:lang w:val="en-GB" w:eastAsia="zh-CN"/>
        </w:rPr>
      </w:pPr>
      <w:r w:rsidRPr="00626BCD">
        <w:rPr>
          <w:lang w:val="en-GB" w:eastAsia="zh-CN"/>
        </w:rPr>
        <w:t xml:space="preserve">A member of </w:t>
      </w:r>
      <w:r w:rsidR="00B2503A">
        <w:rPr>
          <w:lang w:val="en-GB" w:eastAsia="zh-CN"/>
        </w:rPr>
        <w:t xml:space="preserve">the </w:t>
      </w:r>
      <w:r w:rsidRPr="00626BCD">
        <w:rPr>
          <w:lang w:val="en-GB" w:eastAsia="zh-CN"/>
        </w:rPr>
        <w:t>Q</w:t>
      </w:r>
      <w:r w:rsidR="00B2503A">
        <w:rPr>
          <w:lang w:val="en-GB" w:eastAsia="zh-CN"/>
        </w:rPr>
        <w:t xml:space="preserve">uality </w:t>
      </w:r>
      <w:r w:rsidRPr="00626BCD">
        <w:rPr>
          <w:lang w:val="en-GB" w:eastAsia="zh-CN"/>
        </w:rPr>
        <w:t>S</w:t>
      </w:r>
      <w:r w:rsidR="00B2503A">
        <w:rPr>
          <w:lang w:val="en-GB" w:eastAsia="zh-CN"/>
        </w:rPr>
        <w:t>upport Service (QS</w:t>
      </w:r>
      <w:r w:rsidRPr="00626BCD">
        <w:rPr>
          <w:lang w:val="en-GB" w:eastAsia="zh-CN"/>
        </w:rPr>
        <w:t>S</w:t>
      </w:r>
      <w:r w:rsidR="00B2503A">
        <w:rPr>
          <w:lang w:val="en-GB" w:eastAsia="zh-CN"/>
        </w:rPr>
        <w:t>)</w:t>
      </w:r>
      <w:r w:rsidRPr="00626BCD">
        <w:rPr>
          <w:lang w:val="en-GB" w:eastAsia="zh-CN"/>
        </w:rPr>
        <w:t>, to serve as secretary.</w:t>
      </w:r>
    </w:p>
    <w:p w:rsidR="00F86C54" w:rsidRDefault="00F86C54" w14:paraId="559F0FFA" w14:textId="77777777">
      <w:pPr>
        <w:rPr>
          <w:rFonts w:eastAsia="Arial" w:cs="Arial"/>
          <w:bCs/>
          <w:szCs w:val="24"/>
        </w:rPr>
      </w:pPr>
      <w:r>
        <w:br w:type="page"/>
      </w:r>
    </w:p>
    <w:p w:rsidRPr="00626BCD" w:rsidR="00626BCD" w:rsidP="00626BCD" w:rsidRDefault="00626BCD" w14:paraId="3A8BA2B2" w14:textId="6F74243C">
      <w:pPr>
        <w:pStyle w:val="MainBullet"/>
        <w:rPr>
          <w:lang w:val="en-GB" w:eastAsia="zh-CN"/>
        </w:rPr>
      </w:pPr>
      <w:r w:rsidRPr="00626BCD">
        <w:rPr>
          <w:lang w:val="en-GB" w:eastAsia="zh-CN"/>
        </w:rPr>
        <w:lastRenderedPageBreak/>
        <w:t xml:space="preserve">The Chair of EPC may approve the nomination of such additional members of the panel as </w:t>
      </w:r>
      <w:r w:rsidR="007E3C9C">
        <w:rPr>
          <w:lang w:val="en-GB" w:eastAsia="zh-CN"/>
        </w:rPr>
        <w:t>they</w:t>
      </w:r>
      <w:r w:rsidRPr="00626BCD">
        <w:rPr>
          <w:lang w:val="en-GB" w:eastAsia="zh-CN"/>
        </w:rPr>
        <w:t xml:space="preserve"> deem appropriate.</w:t>
      </w:r>
    </w:p>
    <w:p w:rsidRPr="007E3C9C" w:rsidR="007E3C9C" w:rsidP="007E3C9C" w:rsidRDefault="007E3C9C" w14:paraId="1BE938F0" w14:textId="77777777">
      <w:pPr>
        <w:pStyle w:val="MainBullet"/>
        <w:rPr>
          <w:lang w:val="en-GB" w:eastAsia="zh-CN"/>
        </w:rPr>
      </w:pPr>
      <w:r w:rsidRPr="007E3C9C">
        <w:rPr>
          <w:lang w:val="en-GB" w:eastAsia="zh-CN"/>
        </w:rPr>
        <w:t xml:space="preserve">A meeting of the panel </w:t>
      </w:r>
      <w:r w:rsidRPr="00AC1BFB">
        <w:rPr>
          <w:b/>
          <w:bCs w:val="0"/>
          <w:lang w:val="en-GB" w:eastAsia="zh-CN"/>
        </w:rPr>
        <w:t xml:space="preserve">should </w:t>
      </w:r>
      <w:r w:rsidRPr="007E3C9C">
        <w:rPr>
          <w:lang w:val="en-GB" w:eastAsia="zh-CN"/>
        </w:rPr>
        <w:t xml:space="preserve">be held no later than one month after receipt of the application for devolution. The panel </w:t>
      </w:r>
      <w:r w:rsidRPr="00AC1BFB">
        <w:rPr>
          <w:b/>
          <w:bCs w:val="0"/>
          <w:lang w:val="en-GB" w:eastAsia="zh-CN"/>
        </w:rPr>
        <w:t>must</w:t>
      </w:r>
      <w:r w:rsidRPr="007E3C9C">
        <w:rPr>
          <w:lang w:val="en-GB" w:eastAsia="zh-CN"/>
        </w:rPr>
        <w:t xml:space="preserve"> meet with relevant staff of the Partner Institution, including the persons identified in paragraphs 2.1 and 2.2 above and, a representative group of admissions tutors.</w:t>
      </w:r>
    </w:p>
    <w:p w:rsidRPr="007E3C9C" w:rsidR="007E3C9C" w:rsidP="007E3C9C" w:rsidRDefault="007E3C9C" w14:paraId="5D3A0283" w14:textId="77777777">
      <w:pPr>
        <w:pStyle w:val="MainBullet"/>
        <w:rPr>
          <w:lang w:val="en-GB" w:eastAsia="zh-CN"/>
        </w:rPr>
      </w:pPr>
      <w:r w:rsidRPr="007E3C9C">
        <w:rPr>
          <w:lang w:val="en-GB" w:eastAsia="zh-CN"/>
        </w:rPr>
        <w:t xml:space="preserve">The panel </w:t>
      </w:r>
      <w:r w:rsidRPr="00AC1BFB">
        <w:rPr>
          <w:b/>
          <w:bCs w:val="0"/>
          <w:lang w:val="en-GB" w:eastAsia="zh-CN"/>
        </w:rPr>
        <w:t>must</w:t>
      </w:r>
      <w:r w:rsidRPr="007E3C9C">
        <w:rPr>
          <w:lang w:val="en-GB" w:eastAsia="zh-CN"/>
        </w:rPr>
        <w:t xml:space="preserve"> be satisfied that the Partner Institution has identified suitable responsible officers with oversight and ability to monitor delegated staff’s ability to carry out admissions practices, including:</w:t>
      </w:r>
    </w:p>
    <w:p w:rsidRPr="007E3C9C" w:rsidR="007E3C9C" w:rsidP="007E3C9C" w:rsidRDefault="007E3C9C" w14:paraId="157F45B1" w14:textId="327C0A60">
      <w:pPr>
        <w:pStyle w:val="MainBullet"/>
        <w:numPr>
          <w:ilvl w:val="2"/>
          <w:numId w:val="27"/>
        </w:numPr>
        <w:rPr>
          <w:lang w:val="en-GB" w:eastAsia="zh-CN"/>
        </w:rPr>
      </w:pPr>
      <w:r w:rsidRPr="007E3C9C">
        <w:rPr>
          <w:lang w:val="en-GB" w:eastAsia="zh-CN"/>
        </w:rPr>
        <w:t>Recognition of Prior Learning (RPL) and experiential (RPEL)</w:t>
      </w:r>
      <w:r>
        <w:rPr>
          <w:lang w:val="en-GB" w:eastAsia="zh-CN"/>
        </w:rPr>
        <w:t>.</w:t>
      </w:r>
    </w:p>
    <w:p w:rsidRPr="007E3C9C" w:rsidR="007E3C9C" w:rsidP="007E3C9C" w:rsidRDefault="007E3C9C" w14:paraId="4EA15292" w14:textId="5BA6C2EA">
      <w:pPr>
        <w:pStyle w:val="MainBullet"/>
        <w:numPr>
          <w:ilvl w:val="2"/>
          <w:numId w:val="27"/>
        </w:numPr>
        <w:rPr>
          <w:lang w:val="en-GB" w:eastAsia="zh-CN"/>
        </w:rPr>
      </w:pPr>
      <w:r w:rsidRPr="007E3C9C">
        <w:rPr>
          <w:lang w:val="en-GB" w:eastAsia="zh-CN"/>
        </w:rPr>
        <w:t>English language proficiency requirements</w:t>
      </w:r>
      <w:r>
        <w:rPr>
          <w:lang w:val="en-GB" w:eastAsia="zh-CN"/>
        </w:rPr>
        <w:t>.</w:t>
      </w:r>
    </w:p>
    <w:p w:rsidRPr="007E3C9C" w:rsidR="007E3C9C" w:rsidP="007E3C9C" w:rsidRDefault="007E3C9C" w14:paraId="1DE97884" w14:textId="27907FA3">
      <w:pPr>
        <w:pStyle w:val="MainBullet"/>
        <w:numPr>
          <w:ilvl w:val="2"/>
          <w:numId w:val="27"/>
        </w:numPr>
        <w:rPr>
          <w:lang w:val="en-GB" w:eastAsia="zh-CN"/>
        </w:rPr>
      </w:pPr>
      <w:r>
        <w:rPr>
          <w:lang w:val="en-GB" w:eastAsia="zh-CN"/>
        </w:rPr>
        <w:t>P</w:t>
      </w:r>
      <w:r w:rsidRPr="007E3C9C">
        <w:rPr>
          <w:lang w:val="en-GB" w:eastAsia="zh-CN"/>
        </w:rPr>
        <w:t>arity in consideration of all cohorts, modes of study and application methods</w:t>
      </w:r>
      <w:r>
        <w:rPr>
          <w:lang w:val="en-GB" w:eastAsia="zh-CN"/>
        </w:rPr>
        <w:t>.</w:t>
      </w:r>
    </w:p>
    <w:p w:rsidRPr="007E3C9C" w:rsidR="007E3C9C" w:rsidP="007E3C9C" w:rsidRDefault="007E3C9C" w14:paraId="20C132C0" w14:textId="47D8F159">
      <w:pPr>
        <w:pStyle w:val="MainBullet"/>
        <w:numPr>
          <w:ilvl w:val="2"/>
          <w:numId w:val="27"/>
        </w:numPr>
        <w:rPr>
          <w:lang w:val="en-GB" w:eastAsia="zh-CN"/>
        </w:rPr>
      </w:pPr>
      <w:r>
        <w:rPr>
          <w:lang w:val="en-GB" w:eastAsia="zh-CN"/>
        </w:rPr>
        <w:t>I</w:t>
      </w:r>
      <w:r w:rsidRPr="007E3C9C">
        <w:rPr>
          <w:lang w:val="en-GB" w:eastAsia="zh-CN"/>
        </w:rPr>
        <w:t>n line with practices relating to accessibility to study</w:t>
      </w:r>
      <w:r>
        <w:rPr>
          <w:lang w:val="en-GB" w:eastAsia="zh-CN"/>
        </w:rPr>
        <w:t>.</w:t>
      </w:r>
    </w:p>
    <w:p w:rsidRPr="007E3C9C" w:rsidR="007E3C9C" w:rsidP="007E3C9C" w:rsidRDefault="007E3C9C" w14:paraId="2EC4BE93" w14:textId="21957292">
      <w:pPr>
        <w:pStyle w:val="MainBullet"/>
        <w:numPr>
          <w:ilvl w:val="2"/>
          <w:numId w:val="27"/>
        </w:numPr>
        <w:rPr>
          <w:lang w:val="en-GB" w:eastAsia="zh-CN"/>
        </w:rPr>
      </w:pPr>
      <w:r>
        <w:rPr>
          <w:lang w:val="en-GB" w:eastAsia="zh-CN"/>
        </w:rPr>
        <w:t>A</w:t>
      </w:r>
      <w:r w:rsidRPr="007E3C9C">
        <w:rPr>
          <w:lang w:val="en-GB" w:eastAsia="zh-CN"/>
        </w:rPr>
        <w:t xml:space="preserve">pplicants with criminal convictions (which </w:t>
      </w:r>
      <w:r w:rsidRPr="00AC1BFB">
        <w:rPr>
          <w:b/>
          <w:bCs w:val="0"/>
          <w:lang w:val="en-GB" w:eastAsia="zh-CN"/>
        </w:rPr>
        <w:t>should</w:t>
      </w:r>
      <w:r w:rsidRPr="007E3C9C">
        <w:rPr>
          <w:lang w:val="en-GB" w:eastAsia="zh-CN"/>
        </w:rPr>
        <w:t xml:space="preserve"> be in accordance with the </w:t>
      </w:r>
      <w:hyperlink w:history="1" r:id="rId20">
        <w:r w:rsidRPr="009C07CA">
          <w:rPr>
            <w:rStyle w:val="Hyperlink"/>
            <w:lang w:val="en-GB" w:eastAsia="zh-CN"/>
          </w:rPr>
          <w:t>University General Policy for Student Admissions, section 8.</w:t>
        </w:r>
      </w:hyperlink>
    </w:p>
    <w:p w:rsidRPr="007E3C9C" w:rsidR="007E3C9C" w:rsidP="007E3C9C" w:rsidRDefault="007E3C9C" w14:paraId="4CCFEA8A" w14:textId="35AC225C">
      <w:pPr>
        <w:pStyle w:val="MainBullet"/>
        <w:numPr>
          <w:ilvl w:val="2"/>
          <w:numId w:val="27"/>
        </w:numPr>
        <w:rPr>
          <w:lang w:val="en-GB" w:eastAsia="zh-CN"/>
        </w:rPr>
      </w:pPr>
      <w:r>
        <w:rPr>
          <w:lang w:val="en-GB" w:eastAsia="zh-CN"/>
        </w:rPr>
        <w:t>I</w:t>
      </w:r>
      <w:r w:rsidRPr="007E3C9C">
        <w:rPr>
          <w:lang w:val="en-GB" w:eastAsia="zh-CN"/>
        </w:rPr>
        <w:t>nforming students of programme details and requirements</w:t>
      </w:r>
      <w:r>
        <w:rPr>
          <w:lang w:val="en-GB" w:eastAsia="zh-CN"/>
        </w:rPr>
        <w:t>.</w:t>
      </w:r>
    </w:p>
    <w:p w:rsidRPr="007E3C9C" w:rsidR="007E3C9C" w:rsidP="007E3C9C" w:rsidRDefault="007E3C9C" w14:paraId="5F658181" w14:textId="74B5D1F0">
      <w:pPr>
        <w:pStyle w:val="MainBullet"/>
        <w:numPr>
          <w:ilvl w:val="2"/>
          <w:numId w:val="27"/>
        </w:numPr>
        <w:rPr>
          <w:lang w:val="en-GB" w:eastAsia="zh-CN"/>
        </w:rPr>
      </w:pPr>
      <w:r>
        <w:rPr>
          <w:lang w:val="en-GB" w:eastAsia="zh-CN"/>
        </w:rPr>
        <w:t>T</w:t>
      </w:r>
      <w:r w:rsidRPr="007E3C9C">
        <w:rPr>
          <w:lang w:val="en-GB" w:eastAsia="zh-CN"/>
        </w:rPr>
        <w:t>he making of applications and offers</w:t>
      </w:r>
      <w:r>
        <w:rPr>
          <w:lang w:val="en-GB" w:eastAsia="zh-CN"/>
        </w:rPr>
        <w:t>.</w:t>
      </w:r>
    </w:p>
    <w:p w:rsidRPr="007E3C9C" w:rsidR="007E3C9C" w:rsidP="007E3C9C" w:rsidRDefault="007E3C9C" w14:paraId="542615BE" w14:textId="0EA05670">
      <w:pPr>
        <w:pStyle w:val="MainBullet"/>
        <w:numPr>
          <w:ilvl w:val="2"/>
          <w:numId w:val="27"/>
        </w:numPr>
        <w:rPr>
          <w:lang w:val="en-GB" w:eastAsia="zh-CN"/>
        </w:rPr>
      </w:pPr>
      <w:r>
        <w:rPr>
          <w:lang w:val="en-GB" w:eastAsia="zh-CN"/>
        </w:rPr>
        <w:t>A</w:t>
      </w:r>
      <w:r w:rsidRPr="007E3C9C">
        <w:rPr>
          <w:lang w:val="en-GB" w:eastAsia="zh-CN"/>
        </w:rPr>
        <w:t>ssessment of fee status</w:t>
      </w:r>
      <w:r>
        <w:rPr>
          <w:lang w:val="en-GB" w:eastAsia="zh-CN"/>
        </w:rPr>
        <w:t>.</w:t>
      </w:r>
    </w:p>
    <w:p w:rsidRPr="007E3C9C" w:rsidR="007E3C9C" w:rsidP="007E3C9C" w:rsidRDefault="007E3C9C" w14:paraId="541CF8BB" w14:textId="5D784D90">
      <w:pPr>
        <w:pStyle w:val="MainBullet"/>
        <w:numPr>
          <w:ilvl w:val="2"/>
          <w:numId w:val="27"/>
        </w:numPr>
        <w:rPr>
          <w:lang w:val="en-GB" w:eastAsia="zh-CN"/>
        </w:rPr>
      </w:pPr>
      <w:r>
        <w:rPr>
          <w:lang w:val="en-GB" w:eastAsia="zh-CN"/>
        </w:rPr>
        <w:t>S</w:t>
      </w:r>
      <w:r w:rsidRPr="007E3C9C">
        <w:rPr>
          <w:lang w:val="en-GB" w:eastAsia="zh-CN"/>
        </w:rPr>
        <w:t>uitable induction of new students</w:t>
      </w:r>
      <w:r>
        <w:rPr>
          <w:lang w:val="en-GB" w:eastAsia="zh-CN"/>
        </w:rPr>
        <w:t>.</w:t>
      </w:r>
    </w:p>
    <w:p w:rsidRPr="007E3C9C" w:rsidR="007E3C9C" w:rsidP="007E3C9C" w:rsidRDefault="007E3C9C" w14:paraId="767F0E8C" w14:textId="3BC882BC">
      <w:pPr>
        <w:pStyle w:val="MainBullet"/>
        <w:numPr>
          <w:ilvl w:val="2"/>
          <w:numId w:val="27"/>
        </w:numPr>
        <w:rPr>
          <w:lang w:val="en-GB" w:eastAsia="zh-CN"/>
        </w:rPr>
      </w:pPr>
      <w:r>
        <w:rPr>
          <w:lang w:val="en-GB" w:eastAsia="zh-CN"/>
        </w:rPr>
        <w:t>S</w:t>
      </w:r>
      <w:r w:rsidRPr="007E3C9C">
        <w:rPr>
          <w:lang w:val="en-GB" w:eastAsia="zh-CN"/>
        </w:rPr>
        <w:t>taff development for those making admissions decisions</w:t>
      </w:r>
      <w:r>
        <w:rPr>
          <w:lang w:val="en-GB" w:eastAsia="zh-CN"/>
        </w:rPr>
        <w:t>.</w:t>
      </w:r>
    </w:p>
    <w:p w:rsidRPr="007E3C9C" w:rsidR="007E3C9C" w:rsidP="007E3C9C" w:rsidRDefault="007E3C9C" w14:paraId="035E114A" w14:textId="09774F6C">
      <w:pPr>
        <w:pStyle w:val="MainBullet"/>
        <w:numPr>
          <w:ilvl w:val="2"/>
          <w:numId w:val="27"/>
        </w:numPr>
        <w:rPr>
          <w:lang w:val="en-GB" w:eastAsia="zh-CN"/>
        </w:rPr>
      </w:pPr>
      <w:r>
        <w:rPr>
          <w:lang w:val="en-GB" w:eastAsia="zh-CN"/>
        </w:rPr>
        <w:t>M</w:t>
      </w:r>
      <w:r w:rsidRPr="007E3C9C">
        <w:rPr>
          <w:lang w:val="en-GB" w:eastAsia="zh-CN"/>
        </w:rPr>
        <w:t>onitoring of admissions decisions</w:t>
      </w:r>
      <w:r>
        <w:rPr>
          <w:lang w:val="en-GB" w:eastAsia="zh-CN"/>
        </w:rPr>
        <w:t>.</w:t>
      </w:r>
    </w:p>
    <w:p w:rsidRPr="007E3C9C" w:rsidR="007E3C9C" w:rsidP="007E3C9C" w:rsidRDefault="007E3C9C" w14:paraId="4ACA043F" w14:textId="3240C3A7">
      <w:pPr>
        <w:pStyle w:val="MainBullet"/>
        <w:numPr>
          <w:ilvl w:val="2"/>
          <w:numId w:val="27"/>
        </w:numPr>
        <w:rPr>
          <w:lang w:val="en-GB" w:eastAsia="zh-CN"/>
        </w:rPr>
      </w:pPr>
      <w:r>
        <w:rPr>
          <w:lang w:val="en-GB" w:eastAsia="zh-CN"/>
        </w:rPr>
        <w:t>R</w:t>
      </w:r>
      <w:r w:rsidRPr="007E3C9C">
        <w:rPr>
          <w:lang w:val="en-GB" w:eastAsia="zh-CN"/>
        </w:rPr>
        <w:t>etention admissions data</w:t>
      </w:r>
      <w:r>
        <w:rPr>
          <w:lang w:val="en-GB" w:eastAsia="zh-CN"/>
        </w:rPr>
        <w:t>.</w:t>
      </w:r>
    </w:p>
    <w:p w:rsidRPr="007E3C9C" w:rsidR="007E3C9C" w:rsidP="007E3C9C" w:rsidRDefault="007E3C9C" w14:paraId="4311BFDA" w14:textId="5904071F">
      <w:pPr>
        <w:pStyle w:val="MainBullet"/>
        <w:numPr>
          <w:ilvl w:val="2"/>
          <w:numId w:val="27"/>
        </w:numPr>
        <w:rPr>
          <w:lang w:val="en-GB" w:eastAsia="zh-CN"/>
        </w:rPr>
      </w:pPr>
      <w:r>
        <w:rPr>
          <w:lang w:val="en-GB" w:eastAsia="zh-CN"/>
        </w:rPr>
        <w:t>P</w:t>
      </w:r>
      <w:r w:rsidRPr="007E3C9C">
        <w:rPr>
          <w:lang w:val="en-GB" w:eastAsia="zh-CN"/>
        </w:rPr>
        <w:t>rocesses for administering complaints by applicants regarding admissions decisions and process</w:t>
      </w:r>
      <w:r>
        <w:rPr>
          <w:lang w:val="en-GB" w:eastAsia="zh-CN"/>
        </w:rPr>
        <w:t>.</w:t>
      </w:r>
    </w:p>
    <w:p w:rsidRPr="007E3C9C" w:rsidR="007E3C9C" w:rsidP="007E3C9C" w:rsidRDefault="007E3C9C" w14:paraId="1AF9D54E" w14:textId="4F77F7EC">
      <w:pPr>
        <w:pStyle w:val="MainBullet"/>
        <w:numPr>
          <w:ilvl w:val="2"/>
          <w:numId w:val="27"/>
        </w:numPr>
        <w:rPr>
          <w:lang w:val="en-GB" w:eastAsia="zh-CN"/>
        </w:rPr>
      </w:pPr>
      <w:r>
        <w:rPr>
          <w:lang w:val="en-GB" w:eastAsia="zh-CN"/>
        </w:rPr>
        <w:t>R</w:t>
      </w:r>
      <w:r w:rsidRPr="007E3C9C">
        <w:rPr>
          <w:lang w:val="en-GB" w:eastAsia="zh-CN"/>
        </w:rPr>
        <w:t xml:space="preserve">elevant immigration status checks, and potential </w:t>
      </w:r>
      <w:r w:rsidR="00B2503A">
        <w:rPr>
          <w:lang w:val="en-GB" w:eastAsia="zh-CN"/>
        </w:rPr>
        <w:t>s</w:t>
      </w:r>
      <w:r w:rsidRPr="007E3C9C">
        <w:rPr>
          <w:lang w:val="en-GB" w:eastAsia="zh-CN"/>
        </w:rPr>
        <w:t xml:space="preserve">tudent visa sponsorship where students are non-British or Irish nationals. The panel </w:t>
      </w:r>
      <w:r w:rsidRPr="00AC1BFB">
        <w:rPr>
          <w:b/>
          <w:bCs w:val="0"/>
          <w:lang w:val="en-GB" w:eastAsia="zh-CN"/>
        </w:rPr>
        <w:t xml:space="preserve">should </w:t>
      </w:r>
      <w:r w:rsidRPr="007E3C9C">
        <w:rPr>
          <w:lang w:val="en-GB" w:eastAsia="zh-CN"/>
        </w:rPr>
        <w:t>be assured that processes used to determine a student’s eligibility to study will be similar to those operated by the University. University policies are available on request.</w:t>
      </w:r>
    </w:p>
    <w:p w:rsidRPr="009C07CA" w:rsidR="009C07CA" w:rsidP="009C07CA" w:rsidRDefault="009C07CA" w14:paraId="40E997A8" w14:textId="77777777">
      <w:pPr>
        <w:pStyle w:val="Heading2"/>
        <w:numPr>
          <w:ilvl w:val="0"/>
          <w:numId w:val="0"/>
        </w:numPr>
        <w:ind w:left="680"/>
      </w:pPr>
      <w:bookmarkStart w:name="_Toc172891740" w:id="10"/>
      <w:r w:rsidRPr="009C07CA">
        <w:t>Step 3 - Decision of the panel</w:t>
      </w:r>
      <w:bookmarkEnd w:id="10"/>
    </w:p>
    <w:p w:rsidRPr="009C07CA" w:rsidR="009C07CA" w:rsidP="009C07CA" w:rsidRDefault="009C07CA" w14:paraId="5C6BD415" w14:textId="77777777">
      <w:pPr>
        <w:pStyle w:val="MainBullet"/>
        <w:rPr>
          <w:lang w:val="en-GB" w:eastAsia="zh-CN"/>
        </w:rPr>
      </w:pPr>
      <w:r w:rsidRPr="009C07CA">
        <w:rPr>
          <w:lang w:val="en-GB" w:eastAsia="zh-CN"/>
        </w:rPr>
        <w:t>The panel is empowered to:</w:t>
      </w:r>
    </w:p>
    <w:p w:rsidRPr="009C07CA" w:rsidR="009C07CA" w:rsidP="009C07CA" w:rsidRDefault="009C07CA" w14:paraId="2FB4117B" w14:textId="2A971153">
      <w:pPr>
        <w:pStyle w:val="MainBullet"/>
        <w:numPr>
          <w:ilvl w:val="2"/>
          <w:numId w:val="27"/>
        </w:numPr>
        <w:rPr>
          <w:lang w:val="en-GB" w:eastAsia="zh-CN"/>
        </w:rPr>
      </w:pPr>
      <w:r w:rsidRPr="009C07CA">
        <w:rPr>
          <w:lang w:val="en-GB" w:eastAsia="zh-CN"/>
        </w:rPr>
        <w:t>Approve the application, with or without conditions and/or recommendations</w:t>
      </w:r>
      <w:r>
        <w:rPr>
          <w:lang w:val="en-GB" w:eastAsia="zh-CN"/>
        </w:rPr>
        <w:t>.</w:t>
      </w:r>
    </w:p>
    <w:p w:rsidRPr="009C07CA" w:rsidR="009C07CA" w:rsidP="009C07CA" w:rsidRDefault="009C07CA" w14:paraId="2A0F6C15" w14:textId="0080701A">
      <w:pPr>
        <w:pStyle w:val="MainBullet"/>
        <w:numPr>
          <w:ilvl w:val="2"/>
          <w:numId w:val="27"/>
        </w:numPr>
        <w:rPr>
          <w:lang w:val="en-GB" w:eastAsia="zh-CN"/>
        </w:rPr>
      </w:pPr>
      <w:r w:rsidRPr="009C07CA">
        <w:rPr>
          <w:lang w:val="en-GB" w:eastAsia="zh-CN"/>
        </w:rPr>
        <w:t>Defer the application pending further information</w:t>
      </w:r>
      <w:r>
        <w:rPr>
          <w:lang w:val="en-GB" w:eastAsia="zh-CN"/>
        </w:rPr>
        <w:t>.</w:t>
      </w:r>
      <w:r w:rsidRPr="009C07CA">
        <w:rPr>
          <w:lang w:val="en-GB" w:eastAsia="zh-CN"/>
        </w:rPr>
        <w:t xml:space="preserve"> </w:t>
      </w:r>
    </w:p>
    <w:p w:rsidRPr="009C07CA" w:rsidR="009C07CA" w:rsidP="009C07CA" w:rsidRDefault="009C07CA" w14:paraId="4C0DA2DC" w14:textId="45FC6FAD">
      <w:pPr>
        <w:pStyle w:val="MainBullet"/>
        <w:numPr>
          <w:ilvl w:val="2"/>
          <w:numId w:val="27"/>
        </w:numPr>
        <w:rPr>
          <w:lang w:val="en-GB" w:eastAsia="zh-CN"/>
        </w:rPr>
      </w:pPr>
      <w:r w:rsidRPr="009C07CA">
        <w:rPr>
          <w:lang w:val="en-GB" w:eastAsia="zh-CN"/>
        </w:rPr>
        <w:t>Reject the application</w:t>
      </w:r>
      <w:r>
        <w:rPr>
          <w:lang w:val="en-GB" w:eastAsia="zh-CN"/>
        </w:rPr>
        <w:t>.</w:t>
      </w:r>
    </w:p>
    <w:p w:rsidRPr="009C07CA" w:rsidR="009C07CA" w:rsidP="009C07CA" w:rsidRDefault="009C07CA" w14:paraId="422DBDAB" w14:textId="77777777">
      <w:pPr>
        <w:pStyle w:val="MainBullet"/>
        <w:rPr>
          <w:lang w:val="en-GB" w:eastAsia="zh-CN"/>
        </w:rPr>
      </w:pPr>
      <w:r w:rsidRPr="009C07CA">
        <w:rPr>
          <w:lang w:val="en-GB" w:eastAsia="zh-CN"/>
        </w:rPr>
        <w:t>The Secretary of the panel</w:t>
      </w:r>
      <w:r w:rsidRPr="00AC1BFB">
        <w:rPr>
          <w:b/>
          <w:bCs w:val="0"/>
          <w:lang w:val="en-GB" w:eastAsia="zh-CN"/>
        </w:rPr>
        <w:t xml:space="preserve"> must</w:t>
      </w:r>
      <w:r w:rsidRPr="009C07CA">
        <w:rPr>
          <w:lang w:val="en-GB" w:eastAsia="zh-CN"/>
        </w:rPr>
        <w:t xml:space="preserve"> notify the Partner Institution of its decision in writing within ten working days of the panel meeting. A copy of the Record of Decision </w:t>
      </w:r>
      <w:r w:rsidRPr="00AC1BFB">
        <w:rPr>
          <w:b/>
          <w:bCs w:val="0"/>
          <w:lang w:val="en-GB" w:eastAsia="zh-CN"/>
        </w:rPr>
        <w:t>must</w:t>
      </w:r>
      <w:r w:rsidRPr="009C07CA">
        <w:rPr>
          <w:lang w:val="en-GB" w:eastAsia="zh-CN"/>
        </w:rPr>
        <w:t xml:space="preserve"> be submitted to EPC for information.</w:t>
      </w:r>
    </w:p>
    <w:p w:rsidRPr="009C07CA" w:rsidR="009C07CA" w:rsidP="009C07CA" w:rsidRDefault="009C07CA" w14:paraId="6FD22A9A" w14:textId="77777777">
      <w:pPr>
        <w:pStyle w:val="MainBullet"/>
        <w:rPr>
          <w:lang w:val="en-GB" w:eastAsia="zh-CN"/>
        </w:rPr>
      </w:pPr>
      <w:r w:rsidRPr="009C07CA">
        <w:rPr>
          <w:lang w:val="en-GB" w:eastAsia="zh-CN"/>
        </w:rPr>
        <w:t xml:space="preserve">Where applicable, the Record of Decision </w:t>
      </w:r>
      <w:r w:rsidRPr="00AC1BFB">
        <w:rPr>
          <w:b/>
          <w:bCs w:val="0"/>
          <w:lang w:val="en-GB" w:eastAsia="zh-CN"/>
        </w:rPr>
        <w:t>must</w:t>
      </w:r>
      <w:r w:rsidRPr="009C07CA">
        <w:rPr>
          <w:lang w:val="en-GB" w:eastAsia="zh-CN"/>
        </w:rPr>
        <w:t xml:space="preserve"> include any commendations any details of approval conditions, recommendations or further information required.</w:t>
      </w:r>
    </w:p>
    <w:p w:rsidRPr="009C07CA" w:rsidR="009C07CA" w:rsidP="009C07CA" w:rsidRDefault="009C07CA" w14:paraId="6CB93BD8" w14:textId="77777777">
      <w:pPr>
        <w:pStyle w:val="Heading2"/>
        <w:numPr>
          <w:ilvl w:val="0"/>
          <w:numId w:val="0"/>
        </w:numPr>
        <w:ind w:left="680"/>
      </w:pPr>
      <w:bookmarkStart w:name="_Toc172891741" w:id="11"/>
      <w:r w:rsidRPr="009C07CA">
        <w:lastRenderedPageBreak/>
        <w:t>Approval with recommendations and/or conditions</w:t>
      </w:r>
      <w:bookmarkEnd w:id="11"/>
    </w:p>
    <w:p w:rsidRPr="009C07CA" w:rsidR="009C07CA" w:rsidP="009C07CA" w:rsidRDefault="009C07CA" w14:paraId="1939CEDF" w14:textId="77777777">
      <w:pPr>
        <w:pStyle w:val="MainBullet"/>
        <w:rPr>
          <w:lang w:val="en-GB" w:eastAsia="zh-CN"/>
        </w:rPr>
      </w:pPr>
      <w:r w:rsidRPr="009C07CA">
        <w:rPr>
          <w:lang w:val="en-GB" w:eastAsia="zh-CN"/>
        </w:rPr>
        <w:t xml:space="preserve">Conditions </w:t>
      </w:r>
      <w:r w:rsidRPr="009C07CA">
        <w:rPr>
          <w:b/>
          <w:bCs w:val="0"/>
          <w:lang w:val="en-GB" w:eastAsia="zh-CN"/>
        </w:rPr>
        <w:t xml:space="preserve">should </w:t>
      </w:r>
      <w:r w:rsidRPr="009C07CA">
        <w:rPr>
          <w:lang w:val="en-GB" w:eastAsia="zh-CN"/>
        </w:rPr>
        <w:t xml:space="preserve">be set where the panel is satisfied that an action or actions </w:t>
      </w:r>
      <w:r w:rsidRPr="00AC1BFB">
        <w:rPr>
          <w:b/>
          <w:bCs w:val="0"/>
          <w:lang w:val="en-GB" w:eastAsia="zh-CN"/>
        </w:rPr>
        <w:t>must</w:t>
      </w:r>
      <w:r w:rsidRPr="009C07CA">
        <w:rPr>
          <w:lang w:val="en-GB" w:eastAsia="zh-CN"/>
        </w:rPr>
        <w:t xml:space="preserve"> be taken by the Partner Institution to achieve compliance with this Code of Practice. Such conditions </w:t>
      </w:r>
      <w:r w:rsidRPr="009C07CA">
        <w:rPr>
          <w:b/>
          <w:bCs w:val="0"/>
          <w:lang w:val="en-GB" w:eastAsia="zh-CN"/>
        </w:rPr>
        <w:t>must</w:t>
      </w:r>
      <w:r w:rsidRPr="009C07CA">
        <w:rPr>
          <w:lang w:val="en-GB" w:eastAsia="zh-CN"/>
        </w:rPr>
        <w:t xml:space="preserve"> specify the deadline by which the action or actions </w:t>
      </w:r>
      <w:r w:rsidRPr="00AC1BFB">
        <w:rPr>
          <w:b/>
          <w:bCs w:val="0"/>
          <w:lang w:val="en-GB" w:eastAsia="zh-CN"/>
        </w:rPr>
        <w:t xml:space="preserve">must </w:t>
      </w:r>
      <w:r w:rsidRPr="009C07CA">
        <w:rPr>
          <w:lang w:val="en-GB" w:eastAsia="zh-CN"/>
        </w:rPr>
        <w:t>be taken and the means through which the panel will satisfy itself that the conditions have been met. The panel will consider evidence from the Partner Institution at a subsequent panel meeting. Conditions can be passed by Chair’s action if they are minor.</w:t>
      </w:r>
    </w:p>
    <w:p w:rsidRPr="009C07CA" w:rsidR="009C07CA" w:rsidP="009C07CA" w:rsidRDefault="009C07CA" w14:paraId="3F7B6B90" w14:textId="77777777">
      <w:pPr>
        <w:pStyle w:val="MainBullet"/>
        <w:rPr>
          <w:lang w:val="en-GB" w:eastAsia="zh-CN"/>
        </w:rPr>
      </w:pPr>
      <w:r w:rsidRPr="009C07CA">
        <w:rPr>
          <w:lang w:val="en-GB" w:eastAsia="zh-CN"/>
        </w:rPr>
        <w:t xml:space="preserve">Recommendations </w:t>
      </w:r>
      <w:r w:rsidRPr="00AC1BFB">
        <w:rPr>
          <w:b/>
          <w:bCs w:val="0"/>
          <w:lang w:val="en-GB" w:eastAsia="zh-CN"/>
        </w:rPr>
        <w:t>should</w:t>
      </w:r>
      <w:r w:rsidRPr="009C07CA">
        <w:rPr>
          <w:lang w:val="en-GB" w:eastAsia="zh-CN"/>
        </w:rPr>
        <w:t xml:space="preserve"> be set where the panel is satisfied that an action or actions </w:t>
      </w:r>
      <w:r w:rsidRPr="00AC1BFB">
        <w:rPr>
          <w:b/>
          <w:bCs w:val="0"/>
          <w:lang w:val="en-GB" w:eastAsia="zh-CN"/>
        </w:rPr>
        <w:t>should</w:t>
      </w:r>
      <w:r w:rsidRPr="009C07CA">
        <w:rPr>
          <w:lang w:val="en-GB" w:eastAsia="zh-CN"/>
        </w:rPr>
        <w:t xml:space="preserve"> be taken by the Partner Institution as means of enhancing the institution’s policies and procedures. Such recommendations </w:t>
      </w:r>
      <w:r w:rsidRPr="00AC1BFB">
        <w:rPr>
          <w:b/>
          <w:bCs w:val="0"/>
          <w:lang w:val="en-GB" w:eastAsia="zh-CN"/>
        </w:rPr>
        <w:t>should</w:t>
      </w:r>
      <w:r w:rsidRPr="009C07CA">
        <w:rPr>
          <w:lang w:val="en-GB" w:eastAsia="zh-CN"/>
        </w:rPr>
        <w:t xml:space="preserve"> specify the deadline by which the action or actions </w:t>
      </w:r>
      <w:r w:rsidRPr="00AC1BFB">
        <w:rPr>
          <w:b/>
          <w:bCs w:val="0"/>
          <w:lang w:val="en-GB" w:eastAsia="zh-CN"/>
        </w:rPr>
        <w:t>must</w:t>
      </w:r>
      <w:r w:rsidRPr="009C07CA">
        <w:rPr>
          <w:lang w:val="en-GB" w:eastAsia="zh-CN"/>
        </w:rPr>
        <w:t xml:space="preserve"> be taken and the means through which the panel will satisfy itself that the conditions have been met.</w:t>
      </w:r>
    </w:p>
    <w:p w:rsidRPr="009C07CA" w:rsidR="009C07CA" w:rsidP="009C07CA" w:rsidRDefault="009C07CA" w14:paraId="7CDA5218" w14:textId="77777777">
      <w:pPr>
        <w:pStyle w:val="Heading2"/>
        <w:numPr>
          <w:ilvl w:val="0"/>
          <w:numId w:val="0"/>
        </w:numPr>
        <w:ind w:left="680"/>
      </w:pPr>
      <w:bookmarkStart w:name="_Toc172891742" w:id="12"/>
      <w:r w:rsidRPr="009C07CA">
        <w:t>Defer pending further information</w:t>
      </w:r>
      <w:bookmarkEnd w:id="12"/>
    </w:p>
    <w:p w:rsidRPr="009C07CA" w:rsidR="009C07CA" w:rsidP="009C07CA" w:rsidRDefault="009C07CA" w14:paraId="5E8C5A4E" w14:textId="77777777">
      <w:pPr>
        <w:pStyle w:val="MainBullet"/>
        <w:rPr>
          <w:lang w:val="en-GB" w:eastAsia="zh-CN"/>
        </w:rPr>
      </w:pPr>
      <w:r w:rsidRPr="009C07CA">
        <w:rPr>
          <w:lang w:val="en-GB" w:eastAsia="zh-CN"/>
        </w:rPr>
        <w:t xml:space="preserve">Where the panel defers approval of the application pending further information, the panel </w:t>
      </w:r>
      <w:r w:rsidRPr="00AC1BFB">
        <w:rPr>
          <w:b/>
          <w:bCs w:val="0"/>
          <w:lang w:val="en-GB" w:eastAsia="zh-CN"/>
        </w:rPr>
        <w:t>must</w:t>
      </w:r>
      <w:r w:rsidRPr="009C07CA">
        <w:rPr>
          <w:lang w:val="en-GB" w:eastAsia="zh-CN"/>
        </w:rPr>
        <w:t xml:space="preserve"> specify the deadline by which any additional evidence required </w:t>
      </w:r>
      <w:r w:rsidRPr="00AC1BFB">
        <w:rPr>
          <w:b/>
          <w:bCs w:val="0"/>
          <w:lang w:val="en-GB" w:eastAsia="zh-CN"/>
        </w:rPr>
        <w:t>should</w:t>
      </w:r>
      <w:r w:rsidRPr="009C07CA">
        <w:rPr>
          <w:lang w:val="en-GB" w:eastAsia="zh-CN"/>
        </w:rPr>
        <w:t xml:space="preserve"> be submitted. The panel will consider evidence from the Partner Institution at a subsequent panel meeting. </w:t>
      </w:r>
    </w:p>
    <w:p w:rsidRPr="009C07CA" w:rsidR="009C07CA" w:rsidP="009C07CA" w:rsidRDefault="009C07CA" w14:paraId="49713847" w14:textId="77777777">
      <w:pPr>
        <w:pStyle w:val="Heading2"/>
        <w:numPr>
          <w:ilvl w:val="0"/>
          <w:numId w:val="0"/>
        </w:numPr>
        <w:ind w:left="680"/>
      </w:pPr>
      <w:bookmarkStart w:name="_Toc172891743" w:id="13"/>
      <w:r w:rsidRPr="009C07CA">
        <w:t>Reject the application</w:t>
      </w:r>
      <w:bookmarkEnd w:id="13"/>
    </w:p>
    <w:p w:rsidRPr="009C07CA" w:rsidR="009C07CA" w:rsidP="009C07CA" w:rsidRDefault="009C07CA" w14:paraId="1788E2BF" w14:textId="77777777">
      <w:pPr>
        <w:pStyle w:val="MainBullet"/>
        <w:rPr>
          <w:lang w:val="en-GB" w:eastAsia="zh-CN"/>
        </w:rPr>
      </w:pPr>
      <w:r w:rsidRPr="009C07CA">
        <w:rPr>
          <w:lang w:val="en-GB" w:eastAsia="zh-CN"/>
        </w:rPr>
        <w:t xml:space="preserve">In the event of a decision to reject, the Record of Decision </w:t>
      </w:r>
      <w:r w:rsidRPr="00AC1BFB">
        <w:rPr>
          <w:b/>
          <w:bCs w:val="0"/>
          <w:lang w:val="en-GB" w:eastAsia="zh-CN"/>
        </w:rPr>
        <w:t xml:space="preserve">must </w:t>
      </w:r>
      <w:r w:rsidRPr="009C07CA">
        <w:rPr>
          <w:lang w:val="en-GB" w:eastAsia="zh-CN"/>
        </w:rPr>
        <w:t xml:space="preserve">state the reasons for rejection. Resubmission of a further application for devolved admissions will be permitted. </w:t>
      </w:r>
    </w:p>
    <w:p w:rsidRPr="009C07CA" w:rsidR="009C07CA" w:rsidP="009C07CA" w:rsidRDefault="009C07CA" w14:paraId="796F82E3" w14:textId="77777777">
      <w:pPr>
        <w:pStyle w:val="Heading2"/>
        <w:numPr>
          <w:ilvl w:val="0"/>
          <w:numId w:val="0"/>
        </w:numPr>
        <w:ind w:left="680"/>
      </w:pPr>
      <w:bookmarkStart w:name="_Toc172891744" w:id="14"/>
      <w:r w:rsidRPr="009C07CA">
        <w:t>Step 4 – The Formal Record</w:t>
      </w:r>
      <w:bookmarkEnd w:id="14"/>
    </w:p>
    <w:p w:rsidRPr="009C07CA" w:rsidR="00626BCD" w:rsidP="009C07CA" w:rsidRDefault="009C07CA" w14:paraId="1985B459" w14:textId="571ECF81">
      <w:pPr>
        <w:pStyle w:val="MainBullet"/>
        <w:rPr>
          <w:lang w:val="en-GB" w:eastAsia="zh-CN"/>
        </w:rPr>
      </w:pPr>
      <w:r w:rsidRPr="009C07CA">
        <w:rPr>
          <w:lang w:val="en-GB" w:eastAsia="zh-CN"/>
        </w:rPr>
        <w:t>The Record of Decision of the Panel will subsequently become the University's formal record of decision reporting for Partner Institutions with devolved powers. Details of the notification will be populated within the Admission’s Partners Database and reported to EPC on an ongoing basis.</w:t>
      </w:r>
    </w:p>
    <w:p w:rsidR="00617924" w:rsidP="009D0825" w:rsidRDefault="009C07CA" w14:paraId="488384CC" w14:textId="70BF9275">
      <w:pPr>
        <w:pStyle w:val="Heading1"/>
      </w:pPr>
      <w:bookmarkStart w:name="_Toc172891745" w:id="15"/>
      <w:r>
        <w:t>Ongoing arrangements</w:t>
      </w:r>
      <w:bookmarkEnd w:id="15"/>
    </w:p>
    <w:p w:rsidRPr="009C07CA" w:rsidR="009C07CA" w:rsidP="009C07CA" w:rsidRDefault="009C07CA" w14:paraId="6A121325" w14:textId="77777777">
      <w:pPr>
        <w:pStyle w:val="Heading2"/>
        <w:numPr>
          <w:ilvl w:val="0"/>
          <w:numId w:val="0"/>
        </w:numPr>
        <w:ind w:left="680"/>
      </w:pPr>
      <w:bookmarkStart w:name="_Toc172891746" w:id="16"/>
      <w:r w:rsidRPr="009C07CA">
        <w:t>Changes to entry requirements</w:t>
      </w:r>
      <w:bookmarkEnd w:id="16"/>
    </w:p>
    <w:p w:rsidRPr="009C07CA" w:rsidR="009C07CA" w:rsidP="009C07CA" w:rsidRDefault="009C07CA" w14:paraId="527552CC" w14:textId="77777777">
      <w:pPr>
        <w:pStyle w:val="MainBullet"/>
        <w:rPr>
          <w:lang w:val="en-GB" w:eastAsia="zh-CN"/>
        </w:rPr>
      </w:pPr>
      <w:r w:rsidRPr="009C07CA">
        <w:rPr>
          <w:lang w:val="en-GB" w:eastAsia="zh-CN"/>
        </w:rPr>
        <w:t xml:space="preserve">EPC </w:t>
      </w:r>
      <w:r w:rsidRPr="009C07CA">
        <w:rPr>
          <w:b/>
          <w:bCs w:val="0"/>
          <w:lang w:val="en-GB" w:eastAsia="zh-CN"/>
        </w:rPr>
        <w:t>must</w:t>
      </w:r>
      <w:r w:rsidRPr="009C07CA">
        <w:rPr>
          <w:lang w:val="en-GB" w:eastAsia="zh-CN"/>
        </w:rPr>
        <w:t xml:space="preserve"> not approve a proposed programme of study from a Partner Institution to which this Code applies unless appropriate entry requirements for the programme have been specified in the proposal with appropriate supporting justification.</w:t>
      </w:r>
    </w:p>
    <w:p w:rsidRPr="009C07CA" w:rsidR="009C07CA" w:rsidP="009C07CA" w:rsidRDefault="009C07CA" w14:paraId="79F64C93" w14:textId="77777777">
      <w:pPr>
        <w:pStyle w:val="MainBullet"/>
        <w:rPr>
          <w:lang w:val="en-GB" w:eastAsia="zh-CN"/>
        </w:rPr>
      </w:pPr>
      <w:r w:rsidRPr="009C07CA">
        <w:rPr>
          <w:lang w:val="en-GB" w:eastAsia="zh-CN"/>
        </w:rPr>
        <w:t xml:space="preserve">Entry requirements </w:t>
      </w:r>
      <w:r w:rsidRPr="009C07CA">
        <w:rPr>
          <w:b/>
          <w:bCs w:val="0"/>
          <w:lang w:val="en-GB" w:eastAsia="zh-CN"/>
        </w:rPr>
        <w:t>should</w:t>
      </w:r>
      <w:r w:rsidRPr="009C07CA">
        <w:rPr>
          <w:lang w:val="en-GB" w:eastAsia="zh-CN"/>
        </w:rPr>
        <w:t xml:space="preserve"> be reviewed annually by the Partner as part of the annual monitoring of programmes process. Amendments to entry requirements for programmes to which this code applies </w:t>
      </w:r>
      <w:r w:rsidRPr="00AC1BFB">
        <w:rPr>
          <w:b/>
          <w:bCs w:val="0"/>
          <w:lang w:val="en-GB" w:eastAsia="zh-CN"/>
        </w:rPr>
        <w:t>must</w:t>
      </w:r>
      <w:r w:rsidRPr="009C07CA">
        <w:rPr>
          <w:lang w:val="en-GB" w:eastAsia="zh-CN"/>
        </w:rPr>
        <w:t xml:space="preserve"> be submitted for approval by the relevant Joint Board of Studies via faculty and be approved by EPC.</w:t>
      </w:r>
    </w:p>
    <w:p w:rsidRPr="009C07CA" w:rsidR="009C07CA" w:rsidP="009C07CA" w:rsidRDefault="009C07CA" w14:paraId="78E495E4" w14:textId="77777777">
      <w:pPr>
        <w:pStyle w:val="Heading2"/>
        <w:numPr>
          <w:ilvl w:val="0"/>
          <w:numId w:val="0"/>
        </w:numPr>
        <w:ind w:left="680"/>
      </w:pPr>
      <w:bookmarkStart w:name="_Toc172891747" w:id="17"/>
      <w:r w:rsidRPr="009C07CA">
        <w:t>Entry requirements at ‘Clearing’</w:t>
      </w:r>
      <w:bookmarkEnd w:id="17"/>
    </w:p>
    <w:p w:rsidRPr="009C07CA" w:rsidR="009C07CA" w:rsidP="009C07CA" w:rsidRDefault="009C07CA" w14:paraId="74573AA5" w14:textId="77777777">
      <w:pPr>
        <w:pStyle w:val="MainBullet"/>
        <w:rPr>
          <w:lang w:val="en-GB" w:eastAsia="zh-CN"/>
        </w:rPr>
      </w:pPr>
      <w:r w:rsidRPr="009C07CA">
        <w:rPr>
          <w:lang w:val="en-GB" w:eastAsia="zh-CN"/>
        </w:rPr>
        <w:t xml:space="preserve">At the Interim Joint Development Board, the Partner Institution </w:t>
      </w:r>
      <w:r w:rsidRPr="009C07CA">
        <w:rPr>
          <w:b/>
          <w:bCs w:val="0"/>
          <w:lang w:val="en-GB" w:eastAsia="zh-CN"/>
        </w:rPr>
        <w:t>should</w:t>
      </w:r>
      <w:r w:rsidRPr="009C07CA">
        <w:rPr>
          <w:lang w:val="en-GB" w:eastAsia="zh-CN"/>
        </w:rPr>
        <w:t xml:space="preserve"> discuss their proposed UCAS Clearing Strategy for the academic year. </w:t>
      </w:r>
    </w:p>
    <w:p w:rsidRPr="009C07CA" w:rsidR="009C07CA" w:rsidP="009C07CA" w:rsidRDefault="009C07CA" w14:paraId="5171BEA8" w14:textId="77777777">
      <w:pPr>
        <w:pStyle w:val="MainBullet"/>
        <w:rPr>
          <w:lang w:val="en-GB" w:eastAsia="zh-CN"/>
        </w:rPr>
      </w:pPr>
      <w:r w:rsidRPr="009C07CA">
        <w:rPr>
          <w:lang w:val="en-GB" w:eastAsia="zh-CN"/>
        </w:rPr>
        <w:t xml:space="preserve">Where it is considered appropriate to lower entry requirements during the UCAS Clearing period, the Partner Institution </w:t>
      </w:r>
      <w:r w:rsidRPr="009C07CA">
        <w:rPr>
          <w:b/>
          <w:bCs w:val="0"/>
          <w:lang w:val="en-GB" w:eastAsia="zh-CN"/>
        </w:rPr>
        <w:t xml:space="preserve">must </w:t>
      </w:r>
      <w:r w:rsidRPr="009C07CA">
        <w:rPr>
          <w:lang w:val="en-GB" w:eastAsia="zh-CN"/>
        </w:rPr>
        <w:t xml:space="preserve">apply in writing to EPC for approval to lower the entry requirements for this purpose only. </w:t>
      </w:r>
    </w:p>
    <w:p w:rsidR="00F86C54" w:rsidRDefault="00F86C54" w14:paraId="4C9683D3" w14:textId="77777777">
      <w:pPr>
        <w:rPr>
          <w:rFonts w:eastAsia="Arial" w:cs="Arial"/>
          <w:bCs/>
          <w:szCs w:val="24"/>
        </w:rPr>
      </w:pPr>
      <w:r>
        <w:br w:type="page"/>
      </w:r>
    </w:p>
    <w:p w:rsidRPr="009C07CA" w:rsidR="009C07CA" w:rsidP="009C07CA" w:rsidRDefault="009C07CA" w14:paraId="616A3812" w14:textId="5234BF2A">
      <w:pPr>
        <w:pStyle w:val="MainBullet"/>
        <w:rPr>
          <w:lang w:val="en-GB" w:eastAsia="zh-CN"/>
        </w:rPr>
      </w:pPr>
      <w:r w:rsidRPr="009C07CA">
        <w:rPr>
          <w:lang w:val="en-GB" w:eastAsia="zh-CN"/>
        </w:rPr>
        <w:lastRenderedPageBreak/>
        <w:t xml:space="preserve">Such applications </w:t>
      </w:r>
      <w:r w:rsidRPr="009C07CA">
        <w:rPr>
          <w:b/>
          <w:bCs w:val="0"/>
          <w:lang w:val="en-GB" w:eastAsia="zh-CN"/>
        </w:rPr>
        <w:t>must</w:t>
      </w:r>
      <w:r w:rsidRPr="009C07CA">
        <w:rPr>
          <w:lang w:val="en-GB" w:eastAsia="zh-CN"/>
        </w:rPr>
        <w:t xml:space="preserve"> be made in writing no less than six weeks before the start of Clearing, specifying the changes requested and the rationale for them.  Entry requirements during the Clearing period </w:t>
      </w:r>
      <w:r w:rsidRPr="00AC1BFB">
        <w:rPr>
          <w:b/>
          <w:bCs w:val="0"/>
          <w:lang w:val="en-GB" w:eastAsia="zh-CN"/>
        </w:rPr>
        <w:t xml:space="preserve">must </w:t>
      </w:r>
      <w:r w:rsidRPr="009C07CA">
        <w:rPr>
          <w:lang w:val="en-GB" w:eastAsia="zh-CN"/>
        </w:rPr>
        <w:t xml:space="preserve">not fall below the minimum matriculation standards of the University. </w:t>
      </w:r>
    </w:p>
    <w:p w:rsidR="00FD7549" w:rsidP="009D0825" w:rsidRDefault="009C07CA" w14:paraId="1CCF9CA3" w14:textId="012E2762">
      <w:pPr>
        <w:pStyle w:val="Heading1"/>
      </w:pPr>
      <w:bookmarkStart w:name="_Toc172891748" w:id="18"/>
      <w:r w:rsidRPr="009C07CA">
        <w:t>Determining admissions decisions, under Devolved Powers</w:t>
      </w:r>
      <w:bookmarkEnd w:id="18"/>
    </w:p>
    <w:p w:rsidRPr="009C07CA" w:rsidR="009C07CA" w:rsidP="009C07CA" w:rsidRDefault="009C07CA" w14:paraId="2C129147" w14:textId="189933EF">
      <w:pPr>
        <w:pStyle w:val="MainBullet"/>
        <w:rPr>
          <w:lang w:val="en-GB" w:eastAsia="zh-CN"/>
        </w:rPr>
      </w:pPr>
      <w:r w:rsidRPr="009C07CA">
        <w:rPr>
          <w:lang w:val="en-GB" w:eastAsia="zh-CN"/>
        </w:rPr>
        <w:t xml:space="preserve">This part of the </w:t>
      </w:r>
      <w:r w:rsidR="00B2503A">
        <w:rPr>
          <w:lang w:val="en-GB" w:eastAsia="zh-CN"/>
        </w:rPr>
        <w:t>c</w:t>
      </w:r>
      <w:r w:rsidRPr="009C07CA">
        <w:rPr>
          <w:lang w:val="en-GB" w:eastAsia="zh-CN"/>
        </w:rPr>
        <w:t xml:space="preserve">ode sets out the framework within which the Partner Institution </w:t>
      </w:r>
      <w:r w:rsidRPr="00AC1BFB">
        <w:rPr>
          <w:b/>
          <w:bCs w:val="0"/>
          <w:lang w:val="en-GB" w:eastAsia="zh-CN"/>
        </w:rPr>
        <w:t>must</w:t>
      </w:r>
      <w:r w:rsidRPr="009C07CA">
        <w:rPr>
          <w:lang w:val="en-GB" w:eastAsia="zh-CN"/>
        </w:rPr>
        <w:t xml:space="preserve"> operate when making admissions decisions having been granted Devolved Powers.</w:t>
      </w:r>
    </w:p>
    <w:p w:rsidRPr="009C07CA" w:rsidR="009C07CA" w:rsidP="009C07CA" w:rsidRDefault="009C07CA" w14:paraId="5F5C1846" w14:textId="77777777">
      <w:pPr>
        <w:pStyle w:val="Heading2"/>
        <w:numPr>
          <w:ilvl w:val="0"/>
          <w:numId w:val="0"/>
        </w:numPr>
        <w:ind w:left="680"/>
      </w:pPr>
      <w:bookmarkStart w:name="_Toc172891749" w:id="19"/>
      <w:r w:rsidRPr="009C07CA">
        <w:t>Application and Offer Methodology</w:t>
      </w:r>
      <w:bookmarkEnd w:id="19"/>
    </w:p>
    <w:p w:rsidRPr="009C07CA" w:rsidR="009C07CA" w:rsidP="009C07CA" w:rsidRDefault="009C07CA" w14:paraId="6B1C1A35" w14:textId="0B33390A">
      <w:pPr>
        <w:pStyle w:val="MainBullet"/>
        <w:rPr>
          <w:lang w:val="en-GB" w:eastAsia="zh-CN"/>
        </w:rPr>
      </w:pPr>
      <w:r w:rsidRPr="009C07CA">
        <w:rPr>
          <w:lang w:val="en-GB" w:eastAsia="zh-CN"/>
        </w:rPr>
        <w:t xml:space="preserve">A candidate </w:t>
      </w:r>
      <w:r w:rsidRPr="00AC1BFB">
        <w:rPr>
          <w:b/>
          <w:bCs w:val="0"/>
          <w:lang w:val="en-GB" w:eastAsia="zh-CN"/>
        </w:rPr>
        <w:t>must</w:t>
      </w:r>
      <w:r w:rsidRPr="009C07CA">
        <w:rPr>
          <w:lang w:val="en-GB" w:eastAsia="zh-CN"/>
        </w:rPr>
        <w:t xml:space="preserve"> not be admitted to, or be registered for, a programme of study without having submitted a formal application via the usual application method (UCAS or via the provider’s own application method) and, without having been made an offer in writing which accords with this Code of Practice. Applicants </w:t>
      </w:r>
      <w:r w:rsidRPr="00AC1BFB">
        <w:rPr>
          <w:b/>
          <w:bCs w:val="0"/>
          <w:lang w:val="en-GB" w:eastAsia="zh-CN"/>
        </w:rPr>
        <w:t>must</w:t>
      </w:r>
      <w:r w:rsidRPr="009C07CA">
        <w:rPr>
          <w:lang w:val="en-GB" w:eastAsia="zh-CN"/>
        </w:rPr>
        <w:t xml:space="preserve"> not be permitted to enrol onto the programme without having provided sufficient evidence to meet any conditions of offer.</w:t>
      </w:r>
    </w:p>
    <w:p w:rsidRPr="009C07CA" w:rsidR="009C07CA" w:rsidP="009C07CA" w:rsidRDefault="009C07CA" w14:paraId="302648DC" w14:textId="77777777">
      <w:pPr>
        <w:pStyle w:val="Heading2"/>
        <w:numPr>
          <w:ilvl w:val="0"/>
          <w:numId w:val="0"/>
        </w:numPr>
        <w:ind w:left="680"/>
      </w:pPr>
      <w:bookmarkStart w:name="_Toc172891750" w:id="20"/>
      <w:r w:rsidRPr="009C07CA">
        <w:t>Programme approval</w:t>
      </w:r>
      <w:bookmarkEnd w:id="20"/>
    </w:p>
    <w:p w:rsidRPr="009C07CA" w:rsidR="009C07CA" w:rsidP="009C07CA" w:rsidRDefault="009C07CA" w14:paraId="47C5DF16" w14:textId="77777777">
      <w:pPr>
        <w:pStyle w:val="MainBullet"/>
        <w:rPr>
          <w:lang w:val="en-GB" w:eastAsia="zh-CN"/>
        </w:rPr>
      </w:pPr>
      <w:r w:rsidRPr="009C07CA">
        <w:rPr>
          <w:lang w:val="en-GB" w:eastAsia="zh-CN"/>
        </w:rPr>
        <w:t xml:space="preserve">A programme </w:t>
      </w:r>
      <w:r w:rsidRPr="00AC1BFB">
        <w:rPr>
          <w:b/>
          <w:bCs w:val="0"/>
          <w:lang w:val="en-GB" w:eastAsia="zh-CN"/>
        </w:rPr>
        <w:t>must</w:t>
      </w:r>
      <w:r w:rsidRPr="009C07CA">
        <w:rPr>
          <w:lang w:val="en-GB" w:eastAsia="zh-CN"/>
        </w:rPr>
        <w:t xml:space="preserve"> not be advertised before the programme has been granted Development Consent approval by EPC. No applications for admissions for programmes </w:t>
      </w:r>
      <w:r w:rsidRPr="00AC1BFB">
        <w:rPr>
          <w:b/>
          <w:bCs w:val="0"/>
          <w:lang w:val="en-GB" w:eastAsia="zh-CN"/>
        </w:rPr>
        <w:t>should</w:t>
      </w:r>
      <w:r w:rsidRPr="009C07CA">
        <w:rPr>
          <w:lang w:val="en-GB" w:eastAsia="zh-CN"/>
        </w:rPr>
        <w:t xml:space="preserve"> be received until this point. Where Development Consent approval has been granted any advertising </w:t>
      </w:r>
      <w:r w:rsidRPr="00AC1BFB">
        <w:rPr>
          <w:b/>
          <w:bCs w:val="0"/>
          <w:lang w:val="en-GB" w:eastAsia="zh-CN"/>
        </w:rPr>
        <w:t>must</w:t>
      </w:r>
      <w:r w:rsidRPr="009C07CA">
        <w:rPr>
          <w:lang w:val="en-GB" w:eastAsia="zh-CN"/>
        </w:rPr>
        <w:t xml:space="preserve"> explicitly indicate that the programme is ‘subject to approval’ until such time as full approval is granted.</w:t>
      </w:r>
    </w:p>
    <w:p w:rsidRPr="009C07CA" w:rsidR="009C07CA" w:rsidP="009C07CA" w:rsidRDefault="009C07CA" w14:paraId="0D0C2D8E" w14:textId="77777777">
      <w:pPr>
        <w:pStyle w:val="MainBullet"/>
        <w:rPr>
          <w:lang w:val="en-GB" w:eastAsia="zh-CN"/>
        </w:rPr>
      </w:pPr>
      <w:r w:rsidRPr="009C07CA">
        <w:rPr>
          <w:lang w:val="en-GB" w:eastAsia="zh-CN"/>
        </w:rPr>
        <w:t xml:space="preserve">An offer </w:t>
      </w:r>
      <w:r w:rsidRPr="00AC1BFB">
        <w:rPr>
          <w:b/>
          <w:bCs w:val="0"/>
          <w:lang w:val="en-GB" w:eastAsia="zh-CN"/>
        </w:rPr>
        <w:t>must</w:t>
      </w:r>
      <w:r w:rsidRPr="009C07CA">
        <w:rPr>
          <w:lang w:val="en-GB" w:eastAsia="zh-CN"/>
        </w:rPr>
        <w:t xml:space="preserve"> not be made to any applicant before the Partner Institution has been informed in writing that the programme has been approved by EPC. The responsible officer identified is responsible for ensuring compliance in this regard.</w:t>
      </w:r>
    </w:p>
    <w:p w:rsidRPr="009C07CA" w:rsidR="009C07CA" w:rsidP="005B2303" w:rsidRDefault="009C07CA" w14:paraId="202D0127" w14:textId="77777777">
      <w:pPr>
        <w:pStyle w:val="Heading2"/>
        <w:numPr>
          <w:ilvl w:val="0"/>
          <w:numId w:val="0"/>
        </w:numPr>
        <w:ind w:left="680"/>
      </w:pPr>
      <w:bookmarkStart w:name="_Toc172891751" w:id="21"/>
      <w:r w:rsidRPr="009C07CA">
        <w:t>Admissions tutors</w:t>
      </w:r>
      <w:bookmarkEnd w:id="21"/>
    </w:p>
    <w:p w:rsidRPr="009C07CA" w:rsidR="009C07CA" w:rsidP="009C07CA" w:rsidRDefault="009C07CA" w14:paraId="7992015E" w14:textId="77777777">
      <w:pPr>
        <w:pStyle w:val="MainBullet"/>
        <w:rPr>
          <w:lang w:val="en-GB" w:eastAsia="zh-CN"/>
        </w:rPr>
      </w:pPr>
      <w:r w:rsidRPr="009C07CA">
        <w:rPr>
          <w:lang w:val="en-GB" w:eastAsia="zh-CN"/>
        </w:rPr>
        <w:t xml:space="preserve">The Partner Institution, through the responsible officer, </w:t>
      </w:r>
      <w:r w:rsidRPr="00AC1BFB">
        <w:rPr>
          <w:b/>
          <w:bCs w:val="0"/>
          <w:lang w:val="en-GB" w:eastAsia="zh-CN"/>
        </w:rPr>
        <w:t xml:space="preserve">must </w:t>
      </w:r>
      <w:r w:rsidRPr="009C07CA">
        <w:rPr>
          <w:lang w:val="en-GB" w:eastAsia="zh-CN"/>
        </w:rPr>
        <w:t xml:space="preserve">identify staff of the institution to serve as Admissions Tutors for each of the programmes offered by the institution and validated by the University, who may be referred to as ‘delegated persons.’ Delegated persons may be responsible for more than one programme however each programme </w:t>
      </w:r>
      <w:r w:rsidRPr="00AC1BFB">
        <w:rPr>
          <w:b/>
          <w:bCs w:val="0"/>
          <w:lang w:val="en-GB" w:eastAsia="zh-CN"/>
        </w:rPr>
        <w:t>should</w:t>
      </w:r>
      <w:r w:rsidRPr="009C07CA">
        <w:rPr>
          <w:lang w:val="en-GB" w:eastAsia="zh-CN"/>
        </w:rPr>
        <w:t xml:space="preserve"> only have one delegated person. The person nominated </w:t>
      </w:r>
      <w:r w:rsidRPr="00AC1BFB">
        <w:rPr>
          <w:b/>
          <w:bCs w:val="0"/>
          <w:lang w:val="en-GB" w:eastAsia="zh-CN"/>
        </w:rPr>
        <w:t xml:space="preserve">must </w:t>
      </w:r>
      <w:r w:rsidRPr="009C07CA">
        <w:rPr>
          <w:lang w:val="en-GB" w:eastAsia="zh-CN"/>
        </w:rPr>
        <w:t>inform EPC in writing of the names and responsibilities of each Admissions Tutor, including informing him/her of changes as they occur.</w:t>
      </w:r>
    </w:p>
    <w:p w:rsidRPr="009C07CA" w:rsidR="009C07CA" w:rsidP="009C07CA" w:rsidRDefault="009C07CA" w14:paraId="714B68EF" w14:textId="77777777">
      <w:pPr>
        <w:pStyle w:val="MainBullet"/>
        <w:rPr>
          <w:lang w:val="en-GB" w:eastAsia="zh-CN"/>
        </w:rPr>
      </w:pPr>
      <w:r w:rsidRPr="009C07CA">
        <w:rPr>
          <w:lang w:val="en-GB" w:eastAsia="zh-CN"/>
        </w:rPr>
        <w:t xml:space="preserve">Admissions tutors </w:t>
      </w:r>
      <w:r w:rsidRPr="00AC1BFB">
        <w:rPr>
          <w:b/>
          <w:bCs w:val="0"/>
          <w:lang w:val="en-GB" w:eastAsia="zh-CN"/>
        </w:rPr>
        <w:t>must</w:t>
      </w:r>
      <w:r w:rsidRPr="009C07CA">
        <w:rPr>
          <w:lang w:val="en-GB" w:eastAsia="zh-CN"/>
        </w:rPr>
        <w:t xml:space="preserve"> engage in such staff development activities as are reasonably prescribed by the faculty, particularly in relation to external body or legislated requirements.</w:t>
      </w:r>
    </w:p>
    <w:p w:rsidRPr="009C07CA" w:rsidR="009C07CA" w:rsidP="009C07CA" w:rsidRDefault="009C07CA" w14:paraId="75058757" w14:textId="77777777">
      <w:pPr>
        <w:pStyle w:val="Heading2"/>
        <w:numPr>
          <w:ilvl w:val="0"/>
          <w:numId w:val="0"/>
        </w:numPr>
        <w:ind w:left="680"/>
      </w:pPr>
      <w:bookmarkStart w:name="_Toc172891752" w:id="22"/>
      <w:r w:rsidRPr="009C07CA">
        <w:t>Admissions decisions</w:t>
      </w:r>
      <w:bookmarkEnd w:id="22"/>
    </w:p>
    <w:p w:rsidRPr="009C07CA" w:rsidR="009C07CA" w:rsidP="009C07CA" w:rsidRDefault="009C07CA" w14:paraId="702611CF" w14:textId="77777777">
      <w:pPr>
        <w:pStyle w:val="Heading2"/>
        <w:numPr>
          <w:ilvl w:val="0"/>
          <w:numId w:val="0"/>
        </w:numPr>
        <w:ind w:left="680"/>
      </w:pPr>
      <w:bookmarkStart w:name="_Toc172891753" w:id="23"/>
      <w:r w:rsidRPr="009C07CA">
        <w:t>Applications which meet the entry requirements</w:t>
      </w:r>
      <w:bookmarkEnd w:id="23"/>
    </w:p>
    <w:p w:rsidRPr="009C07CA" w:rsidR="009C07CA" w:rsidP="009C07CA" w:rsidRDefault="009C07CA" w14:paraId="7F86201E" w14:textId="77777777">
      <w:pPr>
        <w:pStyle w:val="MainBullet"/>
        <w:rPr>
          <w:lang w:val="en-GB" w:eastAsia="zh-CN"/>
        </w:rPr>
      </w:pPr>
      <w:r w:rsidRPr="009C07CA">
        <w:rPr>
          <w:lang w:val="en-GB" w:eastAsia="zh-CN"/>
        </w:rPr>
        <w:t xml:space="preserve">The Partner Institution has full authority to make an offer where the applicant satisfies or exceeds the entry requirements approved by the panel. Entry requirements for each programme </w:t>
      </w:r>
      <w:r w:rsidRPr="00AC1BFB">
        <w:rPr>
          <w:b/>
          <w:bCs w:val="0"/>
          <w:lang w:val="en-GB" w:eastAsia="zh-CN"/>
        </w:rPr>
        <w:t>must</w:t>
      </w:r>
      <w:r w:rsidRPr="009C07CA">
        <w:rPr>
          <w:lang w:val="en-GB" w:eastAsia="zh-CN"/>
        </w:rPr>
        <w:t xml:space="preserve"> be clearly published and to adhered to in line with CMA guidance.</w:t>
      </w:r>
    </w:p>
    <w:p w:rsidR="00F86C54" w:rsidRDefault="00F86C54" w14:paraId="147949BD" w14:textId="77777777">
      <w:pPr>
        <w:rPr>
          <w:rFonts w:eastAsiaTheme="majorEastAsia" w:cstheme="majorBidi"/>
          <w:szCs w:val="26"/>
          <w:u w:val="single"/>
        </w:rPr>
      </w:pPr>
      <w:bookmarkStart w:name="_Toc172891754" w:id="24"/>
      <w:r>
        <w:br w:type="page"/>
      </w:r>
    </w:p>
    <w:p w:rsidRPr="009C07CA" w:rsidR="009C07CA" w:rsidP="009C07CA" w:rsidRDefault="009C07CA" w14:paraId="578B0AB8" w14:textId="454C2020">
      <w:pPr>
        <w:pStyle w:val="Heading2"/>
        <w:numPr>
          <w:ilvl w:val="0"/>
          <w:numId w:val="0"/>
        </w:numPr>
        <w:ind w:left="680"/>
      </w:pPr>
      <w:r w:rsidRPr="009C07CA">
        <w:lastRenderedPageBreak/>
        <w:t>Applications which do not meet the entry requirements</w:t>
      </w:r>
      <w:bookmarkEnd w:id="24"/>
    </w:p>
    <w:p w:rsidRPr="009C07CA" w:rsidR="009C07CA" w:rsidP="009C07CA" w:rsidRDefault="009C07CA" w14:paraId="0C271D5F" w14:textId="77777777">
      <w:pPr>
        <w:pStyle w:val="MainBullet"/>
        <w:rPr>
          <w:lang w:val="en-GB" w:eastAsia="zh-CN"/>
        </w:rPr>
      </w:pPr>
      <w:r w:rsidRPr="009C07CA">
        <w:rPr>
          <w:lang w:val="en-GB" w:eastAsia="zh-CN"/>
        </w:rPr>
        <w:t xml:space="preserve">Where an applicant does not meet the approved entry requirements and the Partner Institution wishes to make an offer based on an applicant’s prior experience, the application </w:t>
      </w:r>
      <w:r w:rsidRPr="00AC1BFB">
        <w:rPr>
          <w:b/>
          <w:bCs w:val="0"/>
          <w:lang w:val="en-GB" w:eastAsia="zh-CN"/>
        </w:rPr>
        <w:t>must</w:t>
      </w:r>
      <w:r w:rsidRPr="009C07CA">
        <w:rPr>
          <w:lang w:val="en-GB" w:eastAsia="zh-CN"/>
        </w:rPr>
        <w:t xml:space="preserve"> be considered within the University’s Recognition of Prior Learning code of practice in collaboration with the University Faculty. Evidence submitted alongside the application for recognition of prior experiential learning may be in the form of an interview report or essay submitted by the applicant. The application </w:t>
      </w:r>
      <w:r w:rsidRPr="00AC1BFB">
        <w:rPr>
          <w:b/>
          <w:bCs w:val="0"/>
          <w:lang w:val="en-GB" w:eastAsia="zh-CN"/>
        </w:rPr>
        <w:t>must</w:t>
      </w:r>
      <w:r w:rsidRPr="009C07CA">
        <w:rPr>
          <w:lang w:val="en-GB" w:eastAsia="zh-CN"/>
        </w:rPr>
        <w:t xml:space="preserve"> detail discussions with the applicant and indicate the Partner’s reasons for recommending admission notwithstanding the entry requirements.</w:t>
      </w:r>
    </w:p>
    <w:p w:rsidRPr="009C07CA" w:rsidR="009C07CA" w:rsidP="009C07CA" w:rsidRDefault="009C07CA" w14:paraId="539E87E6" w14:textId="77777777">
      <w:pPr>
        <w:pStyle w:val="MainBullet"/>
        <w:rPr>
          <w:lang w:val="en-GB" w:eastAsia="zh-CN"/>
        </w:rPr>
      </w:pPr>
      <w:r w:rsidRPr="009C07CA">
        <w:rPr>
          <w:lang w:val="en-GB" w:eastAsia="zh-CN"/>
        </w:rPr>
        <w:t xml:space="preserve">Each application for recognition or prior learning </w:t>
      </w:r>
      <w:r w:rsidRPr="00AC1BFB">
        <w:rPr>
          <w:b/>
          <w:bCs w:val="0"/>
          <w:lang w:val="en-GB" w:eastAsia="zh-CN"/>
        </w:rPr>
        <w:t>must</w:t>
      </w:r>
      <w:r w:rsidRPr="009C07CA">
        <w:rPr>
          <w:lang w:val="en-GB" w:eastAsia="zh-CN"/>
        </w:rPr>
        <w:t xml:space="preserve"> be considered on its merits by the Faculty nominated person, who </w:t>
      </w:r>
      <w:r w:rsidRPr="00AC1BFB">
        <w:rPr>
          <w:b/>
          <w:bCs w:val="0"/>
          <w:lang w:val="en-GB" w:eastAsia="zh-CN"/>
        </w:rPr>
        <w:t>should</w:t>
      </w:r>
      <w:r w:rsidRPr="009C07CA">
        <w:rPr>
          <w:lang w:val="en-GB" w:eastAsia="zh-CN"/>
        </w:rPr>
        <w:t xml:space="preserve"> be the ‘Academic Contact’ (or equivalent). The Partner Institution </w:t>
      </w:r>
      <w:r w:rsidRPr="00AC1BFB">
        <w:rPr>
          <w:b/>
          <w:bCs w:val="0"/>
          <w:lang w:val="en-GB" w:eastAsia="zh-CN"/>
        </w:rPr>
        <w:t>should</w:t>
      </w:r>
      <w:r w:rsidRPr="009C07CA">
        <w:rPr>
          <w:lang w:val="en-GB" w:eastAsia="zh-CN"/>
        </w:rPr>
        <w:t xml:space="preserve"> be informed in writing of the decision within 7 working days of receipt by the University of the application.</w:t>
      </w:r>
    </w:p>
    <w:p w:rsidRPr="009C07CA" w:rsidR="009C07CA" w:rsidP="009C07CA" w:rsidRDefault="009C07CA" w14:paraId="7B01179A" w14:textId="77777777">
      <w:pPr>
        <w:pStyle w:val="Heading2"/>
        <w:numPr>
          <w:ilvl w:val="0"/>
          <w:numId w:val="0"/>
        </w:numPr>
        <w:ind w:left="680"/>
      </w:pPr>
      <w:bookmarkStart w:name="_Toc172891755" w:id="25"/>
      <w:r w:rsidRPr="009C07CA">
        <w:t>Applications by international students</w:t>
      </w:r>
      <w:bookmarkEnd w:id="25"/>
    </w:p>
    <w:p w:rsidRPr="009C07CA" w:rsidR="009C07CA" w:rsidP="009C07CA" w:rsidRDefault="009C07CA" w14:paraId="73F35DD6" w14:textId="77777777">
      <w:pPr>
        <w:pStyle w:val="MainBullet"/>
        <w:rPr>
          <w:lang w:val="en-GB" w:eastAsia="zh-CN"/>
        </w:rPr>
      </w:pPr>
      <w:r w:rsidRPr="009C07CA">
        <w:rPr>
          <w:lang w:val="en-GB" w:eastAsia="zh-CN"/>
        </w:rPr>
        <w:t xml:space="preserve">Where an applicant has non-UK qualifications, the Partner Institution </w:t>
      </w:r>
      <w:r w:rsidRPr="00AC1BFB">
        <w:rPr>
          <w:b/>
          <w:bCs w:val="0"/>
          <w:lang w:val="en-GB" w:eastAsia="zh-CN"/>
        </w:rPr>
        <w:t>must</w:t>
      </w:r>
      <w:r w:rsidRPr="009C07CA">
        <w:rPr>
          <w:lang w:val="en-GB" w:eastAsia="zh-CN"/>
        </w:rPr>
        <w:t xml:space="preserve"> make appropriate use of the guidance available from ECCTIS and/or UCAS.</w:t>
      </w:r>
    </w:p>
    <w:p w:rsidRPr="009C07CA" w:rsidR="009C07CA" w:rsidP="009C07CA" w:rsidRDefault="009C07CA" w14:paraId="5A63D459" w14:textId="77777777">
      <w:pPr>
        <w:pStyle w:val="Heading2"/>
        <w:numPr>
          <w:ilvl w:val="0"/>
          <w:numId w:val="0"/>
        </w:numPr>
        <w:ind w:left="680"/>
      </w:pPr>
      <w:bookmarkStart w:name="_Toc172891756" w:id="26"/>
      <w:r w:rsidRPr="009C07CA">
        <w:t>Applications for ‘advanced standing’</w:t>
      </w:r>
      <w:bookmarkEnd w:id="26"/>
    </w:p>
    <w:p w:rsidRPr="009C07CA" w:rsidR="009C07CA" w:rsidP="009C07CA" w:rsidRDefault="009C07CA" w14:paraId="42D6530B" w14:textId="0BA04734">
      <w:pPr>
        <w:pStyle w:val="MainBullet"/>
        <w:rPr>
          <w:lang w:val="en-GB" w:eastAsia="zh-CN"/>
        </w:rPr>
      </w:pPr>
      <w:r w:rsidRPr="009C07CA">
        <w:rPr>
          <w:lang w:val="en-GB" w:eastAsia="zh-CN"/>
        </w:rPr>
        <w:t xml:space="preserve">Subject to the preceding paragraphs, all applications for ‘advanced standing’ – that is to a stage higher than the first stage of the programme – </w:t>
      </w:r>
      <w:r w:rsidRPr="00AC1BFB">
        <w:rPr>
          <w:b/>
          <w:bCs w:val="0"/>
          <w:lang w:val="en-GB" w:eastAsia="zh-CN"/>
        </w:rPr>
        <w:t>must</w:t>
      </w:r>
      <w:r w:rsidRPr="009C07CA">
        <w:rPr>
          <w:lang w:val="en-GB" w:eastAsia="zh-CN"/>
        </w:rPr>
        <w:t xml:space="preserve"> be determined in accordance with the Code of Practice</w:t>
      </w:r>
      <w:r w:rsidR="005B2303">
        <w:rPr>
          <w:lang w:val="en-GB" w:eastAsia="zh-CN"/>
        </w:rPr>
        <w:t>:</w:t>
      </w:r>
      <w:r w:rsidRPr="009C07CA">
        <w:rPr>
          <w:lang w:val="en-GB" w:eastAsia="zh-CN"/>
        </w:rPr>
        <w:t xml:space="preserve"> Recognition of Prior Learning.</w:t>
      </w:r>
    </w:p>
    <w:p w:rsidRPr="009C07CA" w:rsidR="009C07CA" w:rsidP="009C07CA" w:rsidRDefault="009C07CA" w14:paraId="333C9860" w14:textId="77777777">
      <w:pPr>
        <w:pStyle w:val="Heading2"/>
        <w:numPr>
          <w:ilvl w:val="0"/>
          <w:numId w:val="0"/>
        </w:numPr>
        <w:ind w:left="680"/>
      </w:pPr>
      <w:bookmarkStart w:name="_Toc172891757" w:id="27"/>
      <w:r w:rsidRPr="009C07CA">
        <w:t>Applications after the commencement of the programme</w:t>
      </w:r>
      <w:bookmarkEnd w:id="27"/>
    </w:p>
    <w:p w:rsidRPr="009C07CA" w:rsidR="009C07CA" w:rsidP="009C07CA" w:rsidRDefault="009C07CA" w14:paraId="36AE6A60" w14:textId="77777777">
      <w:pPr>
        <w:pStyle w:val="MainBullet"/>
        <w:rPr>
          <w:lang w:val="en-GB" w:eastAsia="zh-CN"/>
        </w:rPr>
      </w:pPr>
      <w:r w:rsidRPr="009C07CA">
        <w:rPr>
          <w:lang w:val="en-GB" w:eastAsia="zh-CN"/>
        </w:rPr>
        <w:t xml:space="preserve">An application may be submitted on or after the first day of the commencement of the programme in any given year. These applications </w:t>
      </w:r>
      <w:r w:rsidRPr="00AC1BFB">
        <w:rPr>
          <w:b/>
          <w:bCs w:val="0"/>
          <w:lang w:val="en-GB" w:eastAsia="zh-CN"/>
        </w:rPr>
        <w:t>should</w:t>
      </w:r>
      <w:r w:rsidRPr="009C07CA">
        <w:rPr>
          <w:lang w:val="en-GB" w:eastAsia="zh-CN"/>
        </w:rPr>
        <w:t xml:space="preserve"> be assessed on an individual basis to determine the effects that late arrival may have on the student, both in terms of academic and pastoral matters in accordance with the University’s requirements for induction. Applications submitted later than 14 days after commencement of the programme </w:t>
      </w:r>
      <w:r w:rsidRPr="00AC1BFB">
        <w:rPr>
          <w:b/>
          <w:bCs w:val="0"/>
          <w:lang w:val="en-GB" w:eastAsia="zh-CN"/>
        </w:rPr>
        <w:t xml:space="preserve">must </w:t>
      </w:r>
      <w:r w:rsidRPr="009C07CA">
        <w:rPr>
          <w:lang w:val="en-GB" w:eastAsia="zh-CN"/>
        </w:rPr>
        <w:t>not be considered.</w:t>
      </w:r>
    </w:p>
    <w:p w:rsidRPr="009C07CA" w:rsidR="009C07CA" w:rsidP="009C07CA" w:rsidRDefault="009C07CA" w14:paraId="5C33B3FF" w14:textId="77777777">
      <w:pPr>
        <w:pStyle w:val="Heading2"/>
        <w:numPr>
          <w:ilvl w:val="0"/>
          <w:numId w:val="0"/>
        </w:numPr>
        <w:ind w:left="680"/>
      </w:pPr>
      <w:bookmarkStart w:name="_Toc172891758" w:id="28"/>
      <w:r w:rsidRPr="009C07CA">
        <w:t>Conditional offers</w:t>
      </w:r>
      <w:bookmarkEnd w:id="28"/>
    </w:p>
    <w:p w:rsidRPr="009C07CA" w:rsidR="009C07CA" w:rsidP="009C07CA" w:rsidRDefault="009C07CA" w14:paraId="468D36A5" w14:textId="77777777">
      <w:pPr>
        <w:pStyle w:val="MainBullet"/>
        <w:rPr>
          <w:lang w:val="en-GB" w:eastAsia="zh-CN"/>
        </w:rPr>
      </w:pPr>
      <w:r w:rsidRPr="009C07CA">
        <w:rPr>
          <w:lang w:val="en-GB" w:eastAsia="zh-CN"/>
        </w:rPr>
        <w:t xml:space="preserve">Where an offer is made subject to conditions, the responsible officer </w:t>
      </w:r>
      <w:r w:rsidRPr="00AC1BFB">
        <w:rPr>
          <w:b/>
          <w:bCs w:val="0"/>
          <w:lang w:val="en-GB" w:eastAsia="zh-CN"/>
        </w:rPr>
        <w:t>must</w:t>
      </w:r>
      <w:r w:rsidRPr="009C07CA">
        <w:rPr>
          <w:lang w:val="en-GB" w:eastAsia="zh-CN"/>
        </w:rPr>
        <w:t xml:space="preserve"> ensure, by receipt of appropriate documentation, that such conditions have been satisfied before allowing the applicant to attend lectures and to be registered on the programme of study.</w:t>
      </w:r>
    </w:p>
    <w:p w:rsidRPr="009C07CA" w:rsidR="009C07CA" w:rsidP="009C07CA" w:rsidRDefault="009C07CA" w14:paraId="32763F32" w14:textId="77777777">
      <w:pPr>
        <w:pStyle w:val="Heading2"/>
        <w:numPr>
          <w:ilvl w:val="0"/>
          <w:numId w:val="0"/>
        </w:numPr>
        <w:ind w:left="680"/>
      </w:pPr>
      <w:bookmarkStart w:name="_Toc172891759" w:id="29"/>
      <w:r w:rsidRPr="009C07CA">
        <w:t>Record-keeping</w:t>
      </w:r>
      <w:bookmarkEnd w:id="29"/>
    </w:p>
    <w:p w:rsidRPr="009C07CA" w:rsidR="009C07CA" w:rsidP="009C07CA" w:rsidRDefault="009C07CA" w14:paraId="7D63202D" w14:textId="77777777">
      <w:pPr>
        <w:pStyle w:val="MainBullet"/>
        <w:rPr>
          <w:lang w:val="en-GB" w:eastAsia="zh-CN"/>
        </w:rPr>
      </w:pPr>
      <w:r w:rsidRPr="009C07CA">
        <w:rPr>
          <w:lang w:val="en-GB" w:eastAsia="zh-CN"/>
        </w:rPr>
        <w:t xml:space="preserve">The Partner Institution </w:t>
      </w:r>
      <w:r w:rsidRPr="00AC1BFB">
        <w:rPr>
          <w:b/>
          <w:bCs w:val="0"/>
          <w:lang w:val="en-GB" w:eastAsia="zh-CN"/>
        </w:rPr>
        <w:t>must</w:t>
      </w:r>
      <w:r w:rsidRPr="009C07CA">
        <w:rPr>
          <w:lang w:val="en-GB" w:eastAsia="zh-CN"/>
        </w:rPr>
        <w:t xml:space="preserve"> retain sufficient records of each admissions decision to provide an audit trail, including any advice (such as ECCTIS assessments) on which the decision was based. </w:t>
      </w:r>
    </w:p>
    <w:p w:rsidRPr="009C07CA" w:rsidR="009C07CA" w:rsidP="009C07CA" w:rsidRDefault="009C07CA" w14:paraId="5ED65555" w14:textId="77777777">
      <w:pPr>
        <w:pStyle w:val="MainBullet"/>
        <w:rPr>
          <w:lang w:val="en-GB" w:eastAsia="zh-CN"/>
        </w:rPr>
      </w:pPr>
      <w:r w:rsidRPr="009C07CA">
        <w:rPr>
          <w:lang w:val="en-GB" w:eastAsia="zh-CN"/>
        </w:rPr>
        <w:t xml:space="preserve">Records </w:t>
      </w:r>
      <w:r w:rsidRPr="00AC1BFB">
        <w:rPr>
          <w:b/>
          <w:bCs w:val="0"/>
          <w:lang w:val="en-GB" w:eastAsia="zh-CN"/>
        </w:rPr>
        <w:t xml:space="preserve">must </w:t>
      </w:r>
      <w:r w:rsidRPr="009C07CA">
        <w:rPr>
          <w:lang w:val="en-GB" w:eastAsia="zh-CN"/>
        </w:rPr>
        <w:t xml:space="preserve">at least be kept until the applicant has successfully completed the programme on to which they were admitted or until they have formally withdrawn or been failed by the appropriate Board of Examiners.  </w:t>
      </w:r>
    </w:p>
    <w:p w:rsidRPr="009C07CA" w:rsidR="009C07CA" w:rsidP="009C07CA" w:rsidRDefault="009C07CA" w14:paraId="5F9488CD" w14:textId="77777777">
      <w:pPr>
        <w:pStyle w:val="MainBullet"/>
        <w:rPr>
          <w:lang w:val="en-GB" w:eastAsia="zh-CN"/>
        </w:rPr>
      </w:pPr>
      <w:r w:rsidRPr="009C07CA">
        <w:rPr>
          <w:lang w:val="en-GB" w:eastAsia="zh-CN"/>
        </w:rPr>
        <w:t xml:space="preserve">It is the responsibility of the Partner Institution to complete all statutory returns required for higher education students, including the Higher Education Students Early Statistics Survey (HESES) and the Higher Education Statistics Agency (HESA).  </w:t>
      </w:r>
    </w:p>
    <w:p w:rsidR="00F86C54" w:rsidRDefault="00F86C54" w14:paraId="25CB8614" w14:textId="77777777">
      <w:pPr>
        <w:rPr>
          <w:rFonts w:eastAsia="Arial" w:cs="Arial"/>
          <w:bCs/>
          <w:szCs w:val="24"/>
        </w:rPr>
      </w:pPr>
      <w:r>
        <w:br w:type="page"/>
      </w:r>
    </w:p>
    <w:p w:rsidRPr="009C07CA" w:rsidR="009C07CA" w:rsidP="009C07CA" w:rsidRDefault="009C07CA" w14:paraId="2003ECB0" w14:textId="0C0E9089">
      <w:pPr>
        <w:pStyle w:val="MainBullet"/>
        <w:rPr>
          <w:lang w:val="en-GB" w:eastAsia="zh-CN"/>
        </w:rPr>
      </w:pPr>
      <w:r w:rsidRPr="009C07CA">
        <w:rPr>
          <w:lang w:val="en-GB" w:eastAsia="zh-CN"/>
        </w:rPr>
        <w:lastRenderedPageBreak/>
        <w:t xml:space="preserve">The Partner Institution </w:t>
      </w:r>
      <w:r w:rsidRPr="00AC1BFB">
        <w:rPr>
          <w:b/>
          <w:bCs w:val="0"/>
          <w:lang w:val="en-GB" w:eastAsia="zh-CN"/>
        </w:rPr>
        <w:t xml:space="preserve">must </w:t>
      </w:r>
      <w:r w:rsidRPr="009C07CA">
        <w:rPr>
          <w:lang w:val="en-GB" w:eastAsia="zh-CN"/>
        </w:rPr>
        <w:t xml:space="preserve">take reasonable steps to ensure the authenticity of the supporting documentation and that copies are certified by a reputable body.  </w:t>
      </w:r>
    </w:p>
    <w:p w:rsidR="009C07CA" w:rsidP="00523039" w:rsidRDefault="009C07CA" w14:paraId="5865D349" w14:textId="55B19295">
      <w:pPr>
        <w:pStyle w:val="Heading1"/>
      </w:pPr>
      <w:bookmarkStart w:name="_Toc172891760" w:id="30"/>
      <w:r>
        <w:t>M</w:t>
      </w:r>
      <w:r w:rsidRPr="009C07CA">
        <w:t xml:space="preserve">onitoring of </w:t>
      </w:r>
      <w:r>
        <w:t>C</w:t>
      </w:r>
      <w:r w:rsidRPr="009C07CA">
        <w:t>ompliance of the approved Powers</w:t>
      </w:r>
      <w:bookmarkEnd w:id="30"/>
    </w:p>
    <w:p w:rsidRPr="009C07CA" w:rsidR="009C07CA" w:rsidP="009C07CA" w:rsidRDefault="009C07CA" w14:paraId="3E11428B" w14:textId="0E7E6C1F">
      <w:pPr>
        <w:pStyle w:val="MainBullet"/>
        <w:rPr>
          <w:lang w:val="en-GB" w:eastAsia="zh-CN"/>
        </w:rPr>
      </w:pPr>
      <w:r w:rsidRPr="009C07CA">
        <w:rPr>
          <w:lang w:val="en-GB" w:eastAsia="zh-CN"/>
        </w:rPr>
        <w:t xml:space="preserve">EPC is responsible for overseeing compliance with this Code of Practice. Within 12 months after devolution has been approved, the Partner Institution </w:t>
      </w:r>
      <w:r w:rsidRPr="00AC1BFB">
        <w:rPr>
          <w:b/>
          <w:bCs w:val="0"/>
          <w:lang w:val="en-GB" w:eastAsia="zh-CN"/>
        </w:rPr>
        <w:t>must</w:t>
      </w:r>
      <w:r w:rsidRPr="009C07CA">
        <w:rPr>
          <w:lang w:val="en-GB" w:eastAsia="zh-CN"/>
        </w:rPr>
        <w:t xml:space="preserve"> complete a</w:t>
      </w:r>
      <w:r w:rsidR="00E41E05">
        <w:rPr>
          <w:lang w:val="en-GB" w:eastAsia="zh-CN"/>
        </w:rPr>
        <w:t>n Implementation R</w:t>
      </w:r>
      <w:r w:rsidRPr="009C07CA">
        <w:rPr>
          <w:lang w:val="en-GB" w:eastAsia="zh-CN"/>
        </w:rPr>
        <w:t xml:space="preserve">eport, using </w:t>
      </w:r>
      <w:r w:rsidRPr="00AC1BFB">
        <w:rPr>
          <w:lang w:val="en-GB" w:eastAsia="zh-CN"/>
        </w:rPr>
        <w:t>annexe 2</w:t>
      </w:r>
      <w:r w:rsidRPr="009C07CA">
        <w:rPr>
          <w:lang w:val="en-GB" w:eastAsia="zh-CN"/>
        </w:rPr>
        <w:t xml:space="preserve"> of this Code of Practice, detailing the effectiveness of the procedures it has operated during that year.</w:t>
      </w:r>
    </w:p>
    <w:p w:rsidRPr="00A41374" w:rsidR="00A41374" w:rsidP="00A41374" w:rsidRDefault="00A41374" w14:paraId="34E66962" w14:textId="77777777">
      <w:pPr>
        <w:pStyle w:val="MainBullet"/>
        <w:rPr>
          <w:lang w:val="en-GB" w:eastAsia="zh-CN"/>
        </w:rPr>
      </w:pPr>
      <w:r w:rsidRPr="00A41374">
        <w:rPr>
          <w:lang w:val="en-GB" w:eastAsia="zh-CN"/>
        </w:rPr>
        <w:t xml:space="preserve">The report </w:t>
      </w:r>
      <w:r w:rsidRPr="00AC1BFB">
        <w:rPr>
          <w:b/>
          <w:bCs w:val="0"/>
          <w:lang w:val="en-GB" w:eastAsia="zh-CN"/>
        </w:rPr>
        <w:t>must</w:t>
      </w:r>
      <w:r w:rsidRPr="00A41374">
        <w:rPr>
          <w:lang w:val="en-GB" w:eastAsia="zh-CN"/>
        </w:rPr>
        <w:t xml:space="preserve">: </w:t>
      </w:r>
    </w:p>
    <w:p w:rsidRPr="00A41374" w:rsidR="00A41374" w:rsidP="00A41374" w:rsidRDefault="00A41374" w14:paraId="0665A707" w14:textId="101CD2F0">
      <w:pPr>
        <w:pStyle w:val="MainBullet"/>
        <w:numPr>
          <w:ilvl w:val="2"/>
          <w:numId w:val="27"/>
        </w:numPr>
        <w:rPr>
          <w:lang w:val="en-GB" w:eastAsia="zh-CN"/>
        </w:rPr>
      </w:pPr>
      <w:r>
        <w:rPr>
          <w:lang w:val="en-GB" w:eastAsia="zh-CN"/>
        </w:rPr>
        <w:t>I</w:t>
      </w:r>
      <w:r w:rsidRPr="00A41374">
        <w:rPr>
          <w:lang w:val="en-GB" w:eastAsia="zh-CN"/>
        </w:rPr>
        <w:t>dentify any strengths, examples of good practice worthy of wider dissemination</w:t>
      </w:r>
      <w:r>
        <w:rPr>
          <w:lang w:val="en-GB" w:eastAsia="zh-CN"/>
        </w:rPr>
        <w:t>.</w:t>
      </w:r>
    </w:p>
    <w:p w:rsidRPr="00A41374" w:rsidR="00A41374" w:rsidP="00A41374" w:rsidRDefault="00A41374" w14:paraId="04C56388" w14:textId="65D39BAF">
      <w:pPr>
        <w:pStyle w:val="MainBullet"/>
        <w:numPr>
          <w:ilvl w:val="2"/>
          <w:numId w:val="27"/>
        </w:numPr>
        <w:rPr>
          <w:lang w:val="en-GB" w:eastAsia="zh-CN"/>
        </w:rPr>
      </w:pPr>
      <w:r>
        <w:rPr>
          <w:lang w:val="en-GB" w:eastAsia="zh-CN"/>
        </w:rPr>
        <w:t>L</w:t>
      </w:r>
      <w:r w:rsidRPr="00A41374">
        <w:rPr>
          <w:lang w:val="en-GB" w:eastAsia="zh-CN"/>
        </w:rPr>
        <w:t>ist any areas for development</w:t>
      </w:r>
      <w:r>
        <w:rPr>
          <w:lang w:val="en-GB" w:eastAsia="zh-CN"/>
        </w:rPr>
        <w:t>.</w:t>
      </w:r>
    </w:p>
    <w:p w:rsidRPr="00A41374" w:rsidR="00A41374" w:rsidP="00A41374" w:rsidRDefault="00A41374" w14:paraId="2387FD6C" w14:textId="1A4944ED">
      <w:pPr>
        <w:pStyle w:val="MainBullet"/>
        <w:numPr>
          <w:ilvl w:val="2"/>
          <w:numId w:val="27"/>
        </w:numPr>
        <w:rPr>
          <w:lang w:val="en-GB" w:eastAsia="zh-CN"/>
        </w:rPr>
      </w:pPr>
      <w:r>
        <w:rPr>
          <w:lang w:val="en-GB" w:eastAsia="zh-CN"/>
        </w:rPr>
        <w:t>D</w:t>
      </w:r>
      <w:r w:rsidRPr="00A41374">
        <w:rPr>
          <w:lang w:val="en-GB" w:eastAsia="zh-CN"/>
        </w:rPr>
        <w:t>etail the effectiveness of procedures to deal with applicants with criminal convictions</w:t>
      </w:r>
      <w:r>
        <w:rPr>
          <w:lang w:val="en-GB" w:eastAsia="zh-CN"/>
        </w:rPr>
        <w:t>.</w:t>
      </w:r>
    </w:p>
    <w:p w:rsidRPr="00A41374" w:rsidR="00A41374" w:rsidP="00A41374" w:rsidRDefault="00A41374" w14:paraId="3311E7BC" w14:textId="1EAFFF5C">
      <w:pPr>
        <w:pStyle w:val="MainBullet"/>
        <w:numPr>
          <w:ilvl w:val="2"/>
          <w:numId w:val="27"/>
        </w:numPr>
        <w:rPr>
          <w:lang w:val="en-GB" w:eastAsia="zh-CN"/>
        </w:rPr>
      </w:pPr>
      <w:r>
        <w:rPr>
          <w:lang w:val="en-GB" w:eastAsia="zh-CN"/>
        </w:rPr>
        <w:t>D</w:t>
      </w:r>
      <w:r w:rsidRPr="00A41374">
        <w:rPr>
          <w:lang w:val="en-GB" w:eastAsia="zh-CN"/>
        </w:rPr>
        <w:t>etail the effectiveness of procedures for identifying special cases</w:t>
      </w:r>
      <w:r>
        <w:rPr>
          <w:lang w:val="en-GB" w:eastAsia="zh-CN"/>
        </w:rPr>
        <w:t>.</w:t>
      </w:r>
      <w:r w:rsidRPr="00A41374">
        <w:rPr>
          <w:lang w:val="en-GB" w:eastAsia="zh-CN"/>
        </w:rPr>
        <w:t xml:space="preserve"> </w:t>
      </w:r>
    </w:p>
    <w:p w:rsidRPr="00A41374" w:rsidR="00A41374" w:rsidP="00A41374" w:rsidRDefault="00A41374" w14:paraId="50F3E66C" w14:textId="2B4F44BA">
      <w:pPr>
        <w:pStyle w:val="MainBullet"/>
        <w:numPr>
          <w:ilvl w:val="2"/>
          <w:numId w:val="27"/>
        </w:numPr>
        <w:rPr>
          <w:lang w:val="en-GB" w:eastAsia="zh-CN"/>
        </w:rPr>
      </w:pPr>
      <w:r>
        <w:rPr>
          <w:lang w:val="en-GB" w:eastAsia="zh-CN"/>
        </w:rPr>
        <w:t>P</w:t>
      </w:r>
      <w:r w:rsidRPr="00A41374">
        <w:rPr>
          <w:lang w:val="en-GB" w:eastAsia="zh-CN"/>
        </w:rPr>
        <w:t>rovide details and copies of any relevant updated policies and procedures</w:t>
      </w:r>
      <w:r>
        <w:rPr>
          <w:lang w:val="en-GB" w:eastAsia="zh-CN"/>
        </w:rPr>
        <w:t>.</w:t>
      </w:r>
    </w:p>
    <w:p w:rsidRPr="00A41374" w:rsidR="00A41374" w:rsidP="00A41374" w:rsidRDefault="00A41374" w14:paraId="37DB8FE2" w14:textId="4569B6DA">
      <w:pPr>
        <w:pStyle w:val="MainBullet"/>
        <w:numPr>
          <w:ilvl w:val="2"/>
          <w:numId w:val="27"/>
        </w:numPr>
        <w:rPr>
          <w:lang w:val="en-GB" w:eastAsia="zh-CN"/>
        </w:rPr>
      </w:pPr>
      <w:r>
        <w:rPr>
          <w:lang w:val="en-GB" w:eastAsia="zh-CN"/>
        </w:rPr>
        <w:t>P</w:t>
      </w:r>
      <w:r w:rsidRPr="00A41374">
        <w:rPr>
          <w:lang w:val="en-GB" w:eastAsia="zh-CN"/>
        </w:rPr>
        <w:t>rovide details of any significant changes in roles and responsibilities</w:t>
      </w:r>
      <w:r>
        <w:rPr>
          <w:lang w:val="en-GB" w:eastAsia="zh-CN"/>
        </w:rPr>
        <w:t>.</w:t>
      </w:r>
    </w:p>
    <w:p w:rsidRPr="00A41374" w:rsidR="00A41374" w:rsidP="00A41374" w:rsidRDefault="00A41374" w14:paraId="0B8C7C4B" w14:textId="4C5C0958">
      <w:pPr>
        <w:pStyle w:val="MainBullet"/>
        <w:numPr>
          <w:ilvl w:val="2"/>
          <w:numId w:val="27"/>
        </w:numPr>
        <w:rPr>
          <w:lang w:val="en-GB" w:eastAsia="zh-CN"/>
        </w:rPr>
      </w:pPr>
      <w:r>
        <w:rPr>
          <w:lang w:val="en-GB" w:eastAsia="zh-CN"/>
        </w:rPr>
        <w:t>D</w:t>
      </w:r>
      <w:r w:rsidRPr="00A41374">
        <w:rPr>
          <w:lang w:val="en-GB" w:eastAsia="zh-CN"/>
        </w:rPr>
        <w:t>etail the impact of any changes in relevant legislation.</w:t>
      </w:r>
    </w:p>
    <w:p w:rsidRPr="00A41374" w:rsidR="00A41374" w:rsidP="00A41374" w:rsidRDefault="00A41374" w14:paraId="2788F395" w14:textId="77777777">
      <w:pPr>
        <w:pStyle w:val="MainBullet"/>
        <w:rPr>
          <w:lang w:val="en-GB" w:eastAsia="zh-CN"/>
        </w:rPr>
      </w:pPr>
      <w:r w:rsidRPr="00A41374">
        <w:rPr>
          <w:lang w:val="en-GB" w:eastAsia="zh-CN"/>
        </w:rPr>
        <w:t xml:space="preserve">The report </w:t>
      </w:r>
      <w:r w:rsidRPr="00AC1BFB">
        <w:rPr>
          <w:b/>
          <w:bCs w:val="0"/>
          <w:lang w:val="en-GB" w:eastAsia="zh-CN"/>
        </w:rPr>
        <w:t>must</w:t>
      </w:r>
      <w:r w:rsidRPr="00A41374">
        <w:rPr>
          <w:lang w:val="en-GB" w:eastAsia="zh-CN"/>
        </w:rPr>
        <w:t xml:space="preserve"> be received by EPC. </w:t>
      </w:r>
    </w:p>
    <w:p w:rsidRPr="00A41374" w:rsidR="00A41374" w:rsidP="00A41374" w:rsidRDefault="00A41374" w14:paraId="4BF566A8" w14:textId="77777777">
      <w:pPr>
        <w:pStyle w:val="MainBullet"/>
        <w:rPr>
          <w:lang w:val="en-GB" w:eastAsia="zh-CN"/>
        </w:rPr>
      </w:pPr>
      <w:r w:rsidRPr="00A41374">
        <w:rPr>
          <w:lang w:val="en-GB" w:eastAsia="zh-CN"/>
        </w:rPr>
        <w:t xml:space="preserve">The report </w:t>
      </w:r>
      <w:r w:rsidRPr="00AC1BFB">
        <w:rPr>
          <w:b/>
          <w:bCs w:val="0"/>
          <w:lang w:val="en-GB" w:eastAsia="zh-CN"/>
        </w:rPr>
        <w:t>must</w:t>
      </w:r>
      <w:r w:rsidRPr="00A41374">
        <w:rPr>
          <w:lang w:val="en-GB" w:eastAsia="zh-CN"/>
        </w:rPr>
        <w:t xml:space="preserve"> be completed as part of the Partnership Review process.</w:t>
      </w:r>
    </w:p>
    <w:p w:rsidRPr="00A41374" w:rsidR="00A41374" w:rsidP="00AC1BFB" w:rsidRDefault="00A41374" w14:paraId="7ECD1887" w14:textId="77777777">
      <w:pPr>
        <w:pStyle w:val="Heading2"/>
        <w:numPr>
          <w:ilvl w:val="0"/>
          <w:numId w:val="0"/>
        </w:numPr>
        <w:ind w:left="680"/>
      </w:pPr>
      <w:bookmarkStart w:name="_Toc172891761" w:id="31"/>
      <w:r w:rsidRPr="00A41374">
        <w:t>Annual Review</w:t>
      </w:r>
      <w:bookmarkEnd w:id="31"/>
    </w:p>
    <w:p w:rsidRPr="00A41374" w:rsidR="00A41374" w:rsidP="00A41374" w:rsidRDefault="00A41374" w14:paraId="1D32EEFA" w14:textId="77777777">
      <w:pPr>
        <w:pStyle w:val="MainBullet"/>
        <w:rPr>
          <w:lang w:val="en-GB" w:eastAsia="zh-CN"/>
        </w:rPr>
      </w:pPr>
      <w:r w:rsidRPr="00A41374">
        <w:rPr>
          <w:lang w:val="en-GB" w:eastAsia="zh-CN"/>
        </w:rPr>
        <w:t>The Institutional Review and Enhancement Report template</w:t>
      </w:r>
      <w:r w:rsidRPr="00AC1BFB">
        <w:rPr>
          <w:b/>
          <w:bCs w:val="0"/>
          <w:lang w:val="en-GB" w:eastAsia="zh-CN"/>
        </w:rPr>
        <w:t xml:space="preserve"> must</w:t>
      </w:r>
      <w:r w:rsidRPr="00A41374">
        <w:rPr>
          <w:lang w:val="en-GB" w:eastAsia="zh-CN"/>
        </w:rPr>
        <w:t xml:space="preserve"> be used to provide updates or progress since the original application for devolved admissions authority to allow.  Any issues noted in the execution of the devolved powers </w:t>
      </w:r>
      <w:r w:rsidRPr="00AC1BFB">
        <w:rPr>
          <w:b/>
          <w:bCs w:val="0"/>
          <w:lang w:val="en-GB" w:eastAsia="zh-CN"/>
        </w:rPr>
        <w:t>must</w:t>
      </w:r>
      <w:r w:rsidRPr="00A41374">
        <w:rPr>
          <w:lang w:val="en-GB" w:eastAsia="zh-CN"/>
        </w:rPr>
        <w:t xml:space="preserve"> be reported to EPC.</w:t>
      </w:r>
    </w:p>
    <w:p w:rsidRPr="00A41374" w:rsidR="00A41374" w:rsidP="00A41374" w:rsidRDefault="00A41374" w14:paraId="4606B114" w14:textId="77777777">
      <w:pPr>
        <w:pStyle w:val="MainBullet"/>
        <w:rPr>
          <w:lang w:val="en-GB" w:eastAsia="zh-CN"/>
        </w:rPr>
      </w:pPr>
      <w:r w:rsidRPr="00A41374">
        <w:rPr>
          <w:lang w:val="en-GB" w:eastAsia="zh-CN"/>
        </w:rPr>
        <w:t xml:space="preserve">Following consideration of the any issues raised, EPC may determine any actions which it considers </w:t>
      </w:r>
      <w:r w:rsidRPr="00AC1BFB">
        <w:rPr>
          <w:b/>
          <w:bCs w:val="0"/>
          <w:lang w:val="en-GB" w:eastAsia="zh-CN"/>
        </w:rPr>
        <w:t xml:space="preserve">must </w:t>
      </w:r>
      <w:r w:rsidRPr="00A41374">
        <w:rPr>
          <w:lang w:val="en-GB" w:eastAsia="zh-CN"/>
        </w:rPr>
        <w:t xml:space="preserve">or </w:t>
      </w:r>
      <w:r w:rsidRPr="00AC1BFB">
        <w:rPr>
          <w:b/>
          <w:bCs w:val="0"/>
          <w:lang w:val="en-GB" w:eastAsia="zh-CN"/>
        </w:rPr>
        <w:t>should</w:t>
      </w:r>
      <w:r w:rsidRPr="00A41374">
        <w:rPr>
          <w:lang w:val="en-GB" w:eastAsia="zh-CN"/>
        </w:rPr>
        <w:t xml:space="preserve"> be taken by the Partner Institution to enhance compliance with this Code of Practice or otherwise enhance its admissions processes.</w:t>
      </w:r>
    </w:p>
    <w:p w:rsidRPr="00A41374" w:rsidR="00A41374" w:rsidP="00A41374" w:rsidRDefault="00A41374" w14:paraId="09C43851" w14:textId="77777777">
      <w:pPr>
        <w:pStyle w:val="MainBullet"/>
        <w:rPr>
          <w:lang w:val="en-GB" w:eastAsia="zh-CN"/>
        </w:rPr>
      </w:pPr>
      <w:r w:rsidRPr="00A41374">
        <w:rPr>
          <w:lang w:val="en-GB" w:eastAsia="zh-CN"/>
        </w:rPr>
        <w:t xml:space="preserve">EPC may direct such further reports as it deems appropriate. Normally further comment on the operation of the process and details of any changes in policy or staff </w:t>
      </w:r>
      <w:r w:rsidRPr="00AC1BFB">
        <w:rPr>
          <w:b/>
          <w:bCs w:val="0"/>
          <w:lang w:val="en-GB" w:eastAsia="zh-CN"/>
        </w:rPr>
        <w:t>should</w:t>
      </w:r>
      <w:r w:rsidRPr="00A41374">
        <w:rPr>
          <w:lang w:val="en-GB" w:eastAsia="zh-CN"/>
        </w:rPr>
        <w:t xml:space="preserve"> be included in the Institutional Review and Enhancement Report.</w:t>
      </w:r>
    </w:p>
    <w:p w:rsidRPr="00A41374" w:rsidR="00A41374" w:rsidP="00AC1BFB" w:rsidRDefault="00A41374" w14:paraId="47B12C0E" w14:textId="77777777">
      <w:pPr>
        <w:pStyle w:val="Heading2"/>
        <w:numPr>
          <w:ilvl w:val="0"/>
          <w:numId w:val="0"/>
        </w:numPr>
        <w:ind w:left="680"/>
      </w:pPr>
      <w:bookmarkStart w:name="_Toc172891762" w:id="32"/>
      <w:r w:rsidRPr="00A41374">
        <w:t>Withdrawal of authority to make admissions decisions</w:t>
      </w:r>
      <w:bookmarkEnd w:id="32"/>
    </w:p>
    <w:p w:rsidRPr="00A41374" w:rsidR="00A41374" w:rsidP="00A41374" w:rsidRDefault="00A41374" w14:paraId="72F3EA80" w14:textId="77777777">
      <w:pPr>
        <w:pStyle w:val="MainBullet"/>
        <w:rPr>
          <w:lang w:val="en-GB" w:eastAsia="zh-CN"/>
        </w:rPr>
      </w:pPr>
      <w:r w:rsidRPr="00A41374">
        <w:rPr>
          <w:lang w:val="en-GB" w:eastAsia="zh-CN"/>
        </w:rPr>
        <w:t xml:space="preserve">EPC is empowered to suspend or withdraw the authority to make admissions decisions where it is satisfied that there has been substantial non-compliance with this Code of Practice. The decision </w:t>
      </w:r>
      <w:r w:rsidRPr="00AC1BFB">
        <w:rPr>
          <w:b/>
          <w:bCs w:val="0"/>
          <w:lang w:val="en-GB" w:eastAsia="zh-CN"/>
        </w:rPr>
        <w:t>must</w:t>
      </w:r>
      <w:r w:rsidRPr="00A41374">
        <w:rPr>
          <w:lang w:val="en-GB" w:eastAsia="zh-CN"/>
        </w:rPr>
        <w:t xml:space="preserve"> not be made until the Partner Institution has been provided with reasonable opportunity to make written representations to the Committee. This power </w:t>
      </w:r>
      <w:r w:rsidRPr="00AC1BFB">
        <w:rPr>
          <w:b/>
          <w:bCs w:val="0"/>
          <w:lang w:val="en-GB" w:eastAsia="zh-CN"/>
        </w:rPr>
        <w:t xml:space="preserve">should </w:t>
      </w:r>
      <w:r w:rsidRPr="00A41374">
        <w:rPr>
          <w:lang w:val="en-GB" w:eastAsia="zh-CN"/>
        </w:rPr>
        <w:t>not be exercised unless it has been established that the non-compliance cannot be remedied satisfactorily. The Partner is responsible for demonstrating compliance with the Code of Practice; a failure to demonstrate compliance may result in withdrawn authority.</w:t>
      </w:r>
    </w:p>
    <w:p w:rsidRPr="00AC1BFB" w:rsidR="00523039" w:rsidP="00AC1BFB" w:rsidRDefault="00523039" w14:paraId="472F4E18" w14:textId="1A2EC53F">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2891763" w:id="33"/>
      <w:r w:rsidRPr="00DC1437">
        <w:lastRenderedPageBreak/>
        <w:t xml:space="preserve">Version </w:t>
      </w:r>
      <w:r w:rsidR="00085124">
        <w:t>c</w:t>
      </w:r>
      <w:r w:rsidRPr="00DC1437">
        <w:t>ontrol</w:t>
      </w:r>
      <w:bookmarkEnd w:id="33"/>
    </w:p>
    <w:tbl>
      <w:tblPr>
        <w:tblStyle w:val="TableGrid"/>
        <w:tblW w:w="5000" w:type="pct"/>
        <w:tblLook w:val="04A0" w:firstRow="1" w:lastRow="0" w:firstColumn="1" w:lastColumn="0" w:noHBand="0" w:noVBand="1"/>
      </w:tblPr>
      <w:tblGrid>
        <w:gridCol w:w="1110"/>
        <w:gridCol w:w="3227"/>
        <w:gridCol w:w="1748"/>
        <w:gridCol w:w="2931"/>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F519A9" w14:paraId="0B5BB639" w14:textId="358E529E">
            <w:pPr>
              <w:rPr>
                <w:rFonts w:cs="Arial"/>
              </w:rPr>
            </w:pPr>
            <w:r>
              <w:rPr>
                <w:rFonts w:cs="Arial"/>
              </w:rPr>
              <w:t>2 00</w:t>
            </w:r>
          </w:p>
        </w:tc>
        <w:tc>
          <w:tcPr>
            <w:tcW w:w="1804" w:type="pct"/>
          </w:tcPr>
          <w:p w:rsidRPr="00D17767" w:rsidR="008F2463" w:rsidP="008F2463" w:rsidRDefault="00F519A9" w14:paraId="586A713D" w14:textId="29D9ED31">
            <w:pPr>
              <w:rPr>
                <w:rFonts w:cs="Arial"/>
                <w:sz w:val="20"/>
                <w:szCs w:val="20"/>
              </w:rPr>
            </w:pPr>
            <w:r w:rsidRPr="00D17767">
              <w:rPr>
                <w:rFonts w:cs="Arial"/>
                <w:sz w:val="20"/>
                <w:szCs w:val="20"/>
              </w:rPr>
              <w:t>UoH Working Group</w:t>
            </w:r>
          </w:p>
        </w:tc>
        <w:tc>
          <w:tcPr>
            <w:tcW w:w="984" w:type="pct"/>
          </w:tcPr>
          <w:p w:rsidRPr="00D17767" w:rsidR="008F2463" w:rsidP="008F2463" w:rsidRDefault="00F519A9" w14:paraId="06870469" w14:textId="62F55DA9">
            <w:pPr>
              <w:rPr>
                <w:rFonts w:cs="Arial"/>
                <w:sz w:val="20"/>
                <w:szCs w:val="20"/>
              </w:rPr>
            </w:pPr>
            <w:r w:rsidRPr="00D17767">
              <w:rPr>
                <w:rFonts w:cs="Arial"/>
                <w:sz w:val="20"/>
                <w:szCs w:val="20"/>
              </w:rPr>
              <w:t>July 2024, ESEC</w:t>
            </w:r>
          </w:p>
        </w:tc>
        <w:tc>
          <w:tcPr>
            <w:tcW w:w="1640" w:type="pct"/>
          </w:tcPr>
          <w:p w:rsidRPr="00D17767" w:rsidR="00D17767" w:rsidP="00D17767" w:rsidRDefault="00D17767" w14:paraId="17A471A9" w14:textId="42920F37">
            <w:pPr>
              <w:rPr>
                <w:rFonts w:cs="Arial"/>
                <w:sz w:val="20"/>
                <w:szCs w:val="20"/>
              </w:rPr>
            </w:pPr>
            <w:r w:rsidRPr="00D17767">
              <w:rPr>
                <w:rFonts w:cs="Arial"/>
                <w:sz w:val="20"/>
                <w:szCs w:val="20"/>
              </w:rPr>
              <w:t>Significant review to bring the code into line with current university structures and updating of language, including:</w:t>
            </w:r>
          </w:p>
          <w:p w:rsidRPr="00D17767" w:rsidR="00D17767" w:rsidP="00D17767" w:rsidRDefault="00D17767" w14:paraId="3D6DCF3E" w14:textId="77777777">
            <w:pPr>
              <w:pStyle w:val="ListParagraph"/>
              <w:numPr>
                <w:ilvl w:val="0"/>
                <w:numId w:val="36"/>
              </w:numPr>
              <w:rPr>
                <w:rFonts w:cs="Arial"/>
                <w:sz w:val="20"/>
                <w:szCs w:val="20"/>
              </w:rPr>
            </w:pPr>
            <w:r w:rsidRPr="00D17767">
              <w:rPr>
                <w:rFonts w:cs="Arial"/>
                <w:sz w:val="20"/>
                <w:szCs w:val="20"/>
              </w:rPr>
              <w:t>Confirms the role of EPC in the approval and monitoring of the devolved powers.</w:t>
            </w:r>
          </w:p>
          <w:p w:rsidRPr="00D17767" w:rsidR="00D17767" w:rsidP="00D17767" w:rsidRDefault="00D17767" w14:paraId="15AD63E1" w14:textId="77777777">
            <w:pPr>
              <w:pStyle w:val="ListParagraph"/>
              <w:numPr>
                <w:ilvl w:val="0"/>
                <w:numId w:val="36"/>
              </w:numPr>
              <w:rPr>
                <w:rFonts w:cs="Arial"/>
                <w:sz w:val="20"/>
                <w:szCs w:val="20"/>
              </w:rPr>
            </w:pPr>
            <w:r w:rsidRPr="00D17767">
              <w:rPr>
                <w:rFonts w:cs="Arial"/>
                <w:sz w:val="20"/>
                <w:szCs w:val="20"/>
              </w:rPr>
              <w:t>Confirms arrangements for changes to entry requirements at Clearing.</w:t>
            </w:r>
          </w:p>
          <w:p w:rsidRPr="00D17767" w:rsidR="008F2463" w:rsidP="00D17767" w:rsidRDefault="00D17767" w14:paraId="6838A029" w14:textId="37DD5EFE">
            <w:pPr>
              <w:pStyle w:val="ListParagraph"/>
              <w:numPr>
                <w:ilvl w:val="0"/>
                <w:numId w:val="36"/>
              </w:numPr>
              <w:rPr>
                <w:rFonts w:cs="Arial"/>
                <w:sz w:val="20"/>
                <w:szCs w:val="20"/>
              </w:rPr>
            </w:pPr>
            <w:r w:rsidRPr="00D17767">
              <w:rPr>
                <w:rFonts w:cs="Arial"/>
                <w:sz w:val="20"/>
                <w:szCs w:val="20"/>
              </w:rPr>
              <w:t>Confirmation of the appropriateness of the policy via annual review (AMREP) and the partner audit process.</w:t>
            </w:r>
          </w:p>
        </w:tc>
      </w:tr>
      <w:tr w:rsidRPr="002E6BBA" w:rsidR="008F2463" w:rsidTr="005E53B3" w14:paraId="2B4E243D" w14:textId="5F65423F">
        <w:tc>
          <w:tcPr>
            <w:tcW w:w="572" w:type="pct"/>
          </w:tcPr>
          <w:p w:rsidRPr="00F519A9" w:rsidR="008F2463" w:rsidP="008F2463" w:rsidRDefault="00F519A9" w14:paraId="75C6C97E" w14:textId="012C8A39">
            <w:pPr>
              <w:rPr>
                <w:rFonts w:cs="Arial"/>
                <w:sz w:val="20"/>
                <w:szCs w:val="20"/>
              </w:rPr>
            </w:pPr>
            <w:r w:rsidRPr="00F519A9">
              <w:rPr>
                <w:rFonts w:cs="Arial"/>
                <w:sz w:val="20"/>
                <w:szCs w:val="20"/>
              </w:rPr>
              <w:t>1 07</w:t>
            </w:r>
          </w:p>
        </w:tc>
        <w:tc>
          <w:tcPr>
            <w:tcW w:w="1804" w:type="pct"/>
          </w:tcPr>
          <w:p w:rsidRPr="00D17767" w:rsidR="008F2463" w:rsidP="008F2463" w:rsidRDefault="008F2463" w14:paraId="662CE0C1" w14:textId="77777777">
            <w:pPr>
              <w:rPr>
                <w:rFonts w:cs="Arial"/>
                <w:sz w:val="20"/>
                <w:szCs w:val="20"/>
              </w:rPr>
            </w:pPr>
          </w:p>
        </w:tc>
        <w:tc>
          <w:tcPr>
            <w:tcW w:w="984" w:type="pct"/>
          </w:tcPr>
          <w:p w:rsidRPr="00D17767" w:rsidR="008F2463" w:rsidP="008F2463" w:rsidRDefault="008F2463" w14:paraId="62B74139" w14:textId="77777777">
            <w:pPr>
              <w:rPr>
                <w:rFonts w:cs="Arial"/>
                <w:sz w:val="20"/>
                <w:szCs w:val="20"/>
              </w:rPr>
            </w:pPr>
          </w:p>
        </w:tc>
        <w:tc>
          <w:tcPr>
            <w:tcW w:w="1640" w:type="pct"/>
          </w:tcPr>
          <w:p w:rsidRPr="00D17767" w:rsidR="00F519A9" w:rsidP="00F519A9" w:rsidRDefault="00F519A9" w14:paraId="1BEEF14A" w14:textId="38AB69F1">
            <w:pPr>
              <w:pStyle w:val="ListParagraph"/>
              <w:numPr>
                <w:ilvl w:val="0"/>
                <w:numId w:val="28"/>
              </w:numPr>
              <w:rPr>
                <w:rFonts w:cs="Arial"/>
                <w:sz w:val="20"/>
                <w:szCs w:val="20"/>
              </w:rPr>
            </w:pPr>
            <w:r w:rsidRPr="00D17767">
              <w:rPr>
                <w:rFonts w:cs="Arial"/>
                <w:sz w:val="20"/>
                <w:szCs w:val="20"/>
              </w:rPr>
              <w:t>Change of Programme Management Committee PMC to Education Planning Committee (EPC).</w:t>
            </w:r>
          </w:p>
          <w:p w:rsidRPr="00D17767" w:rsidR="00F519A9" w:rsidP="00F519A9" w:rsidRDefault="00F519A9" w14:paraId="09E8D854" w14:textId="77777777">
            <w:pPr>
              <w:pStyle w:val="ListParagraph"/>
              <w:numPr>
                <w:ilvl w:val="0"/>
                <w:numId w:val="28"/>
              </w:numPr>
              <w:rPr>
                <w:rFonts w:cs="Arial"/>
                <w:sz w:val="20"/>
                <w:szCs w:val="20"/>
              </w:rPr>
            </w:pPr>
            <w:r w:rsidRPr="00D17767">
              <w:rPr>
                <w:rFonts w:cs="Arial"/>
                <w:sz w:val="20"/>
                <w:szCs w:val="20"/>
              </w:rPr>
              <w:t>Several amendments for clarity, including provisions for the code applying to UK and internal Partner Institutions.</w:t>
            </w:r>
          </w:p>
          <w:p w:rsidRPr="00D17767" w:rsidR="00F519A9" w:rsidP="00F519A9" w:rsidRDefault="00F519A9" w14:paraId="0334BD70" w14:textId="77777777">
            <w:pPr>
              <w:pStyle w:val="ListParagraph"/>
              <w:numPr>
                <w:ilvl w:val="0"/>
                <w:numId w:val="28"/>
              </w:numPr>
              <w:rPr>
                <w:rFonts w:cs="Arial"/>
                <w:sz w:val="20"/>
                <w:szCs w:val="20"/>
              </w:rPr>
            </w:pPr>
            <w:r w:rsidRPr="00D17767">
              <w:rPr>
                <w:rFonts w:cs="Arial"/>
                <w:sz w:val="20"/>
                <w:szCs w:val="20"/>
              </w:rPr>
              <w:t>Confirmation of the review of devolved powers via the Annual Monitoring and Partnership Review process.</w:t>
            </w:r>
          </w:p>
          <w:p w:rsidRPr="00D17767" w:rsidR="008F2463" w:rsidP="00F519A9" w:rsidRDefault="00F519A9" w14:paraId="4AAB66AB" w14:textId="19541F8C">
            <w:pPr>
              <w:pStyle w:val="ListParagraph"/>
              <w:numPr>
                <w:ilvl w:val="0"/>
                <w:numId w:val="28"/>
              </w:numPr>
              <w:rPr>
                <w:rFonts w:cs="Arial"/>
                <w:sz w:val="20"/>
                <w:szCs w:val="20"/>
              </w:rPr>
            </w:pPr>
            <w:r w:rsidRPr="00D17767">
              <w:rPr>
                <w:rFonts w:cs="Arial"/>
                <w:sz w:val="20"/>
                <w:szCs w:val="20"/>
              </w:rPr>
              <w:t>Confirmation of changes to entry requirements as part of Clearing.</w:t>
            </w:r>
          </w:p>
        </w:tc>
      </w:tr>
      <w:tr w:rsidRPr="002E6BBA" w:rsidR="008F2463" w:rsidTr="005E53B3" w14:paraId="720869D6" w14:textId="2C8E8AA9">
        <w:tc>
          <w:tcPr>
            <w:tcW w:w="572" w:type="pct"/>
          </w:tcPr>
          <w:p w:rsidRPr="002E6BBA" w:rsidR="008F2463" w:rsidP="008F2463" w:rsidRDefault="00F519A9" w14:paraId="6FD10DA7" w14:textId="52DAD2F7">
            <w:pPr>
              <w:rPr>
                <w:rFonts w:cs="Arial"/>
              </w:rPr>
            </w:pPr>
            <w:r>
              <w:rPr>
                <w:rFonts w:cs="Arial"/>
              </w:rPr>
              <w:t>1 06</w:t>
            </w:r>
          </w:p>
        </w:tc>
        <w:tc>
          <w:tcPr>
            <w:tcW w:w="1804" w:type="pct"/>
          </w:tcPr>
          <w:p w:rsidRPr="00D17767" w:rsidR="008F2463" w:rsidP="008F2463" w:rsidRDefault="008F2463" w14:paraId="4205A32C" w14:textId="77777777">
            <w:pPr>
              <w:rPr>
                <w:rFonts w:cs="Arial"/>
                <w:sz w:val="20"/>
                <w:szCs w:val="20"/>
              </w:rPr>
            </w:pPr>
          </w:p>
        </w:tc>
        <w:tc>
          <w:tcPr>
            <w:tcW w:w="984" w:type="pct"/>
          </w:tcPr>
          <w:p w:rsidRPr="00D17767" w:rsidR="008F2463" w:rsidP="008F2463" w:rsidRDefault="00F519A9" w14:paraId="6D51B137" w14:textId="441ECB5F">
            <w:pPr>
              <w:rPr>
                <w:rFonts w:cs="Arial"/>
                <w:sz w:val="20"/>
                <w:szCs w:val="20"/>
              </w:rPr>
            </w:pPr>
            <w:r w:rsidRPr="00D17767">
              <w:rPr>
                <w:rFonts w:cs="Arial"/>
                <w:sz w:val="20"/>
                <w:szCs w:val="20"/>
              </w:rPr>
              <w:t>Housekeeping.</w:t>
            </w:r>
          </w:p>
        </w:tc>
        <w:tc>
          <w:tcPr>
            <w:tcW w:w="1640" w:type="pct"/>
          </w:tcPr>
          <w:p w:rsidRPr="00D17767" w:rsidR="008F2463" w:rsidP="008F2463" w:rsidRDefault="00F519A9" w14:paraId="736A3561" w14:textId="6FA91D51">
            <w:pPr>
              <w:rPr>
                <w:rFonts w:cs="Arial"/>
                <w:sz w:val="20"/>
                <w:szCs w:val="20"/>
              </w:rPr>
            </w:pPr>
            <w:r w:rsidRPr="00D17767">
              <w:rPr>
                <w:rFonts w:cs="Arial"/>
                <w:sz w:val="20"/>
                <w:szCs w:val="20"/>
              </w:rPr>
              <w:t>Change of Programme Approvals Committee to Programme Management Committee and PAC to PMC.</w:t>
            </w:r>
          </w:p>
        </w:tc>
      </w:tr>
      <w:tr w:rsidRPr="002E6BBA" w:rsidR="00F519A9" w:rsidTr="005E53B3" w14:paraId="745A7F27" w14:textId="77777777">
        <w:tc>
          <w:tcPr>
            <w:tcW w:w="572" w:type="pct"/>
          </w:tcPr>
          <w:p w:rsidRPr="002E6BBA" w:rsidR="00F519A9" w:rsidP="00F519A9" w:rsidRDefault="00F519A9" w14:paraId="1623FC13" w14:textId="27DB3899">
            <w:pPr>
              <w:rPr>
                <w:rFonts w:cs="Arial"/>
              </w:rPr>
            </w:pPr>
            <w:r>
              <w:rPr>
                <w:rFonts w:cs="Arial"/>
              </w:rPr>
              <w:t>1 05</w:t>
            </w:r>
          </w:p>
        </w:tc>
        <w:tc>
          <w:tcPr>
            <w:tcW w:w="1804" w:type="pct"/>
          </w:tcPr>
          <w:p w:rsidRPr="00D17767" w:rsidR="00F519A9" w:rsidP="00F519A9" w:rsidRDefault="00F519A9" w14:paraId="7D8A24D0" w14:textId="77777777">
            <w:pPr>
              <w:rPr>
                <w:rFonts w:cs="Arial"/>
                <w:sz w:val="20"/>
                <w:szCs w:val="20"/>
              </w:rPr>
            </w:pPr>
          </w:p>
        </w:tc>
        <w:tc>
          <w:tcPr>
            <w:tcW w:w="984" w:type="pct"/>
          </w:tcPr>
          <w:p w:rsidRPr="00D17767" w:rsidR="00F519A9" w:rsidP="00F519A9" w:rsidRDefault="00F519A9" w14:paraId="37B33D71" w14:textId="0A3B958F">
            <w:pPr>
              <w:rPr>
                <w:rFonts w:cs="Arial"/>
                <w:sz w:val="20"/>
                <w:szCs w:val="20"/>
              </w:rPr>
            </w:pPr>
            <w:r w:rsidRPr="00D17767">
              <w:rPr>
                <w:rFonts w:cs="Arial"/>
                <w:sz w:val="20"/>
                <w:szCs w:val="20"/>
              </w:rPr>
              <w:t>Housekeeping.</w:t>
            </w:r>
          </w:p>
        </w:tc>
        <w:tc>
          <w:tcPr>
            <w:tcW w:w="1640" w:type="pct"/>
          </w:tcPr>
          <w:p w:rsidRPr="00D17767" w:rsidR="00F519A9" w:rsidP="00F519A9" w:rsidRDefault="00F519A9" w14:paraId="7248F7E2" w14:textId="4A1C147D">
            <w:pPr>
              <w:rPr>
                <w:rFonts w:cs="Arial"/>
                <w:sz w:val="20"/>
                <w:szCs w:val="20"/>
              </w:rPr>
            </w:pPr>
            <w:r w:rsidRPr="00D17767">
              <w:rPr>
                <w:rFonts w:cs="Arial"/>
                <w:sz w:val="20"/>
                <w:szCs w:val="20"/>
              </w:rPr>
              <w:t>Change of name Head of Quality, to Quality Manager</w:t>
            </w:r>
          </w:p>
        </w:tc>
      </w:tr>
      <w:tr w:rsidRPr="002E6BBA" w:rsidR="00F519A9" w:rsidTr="005E53B3" w14:paraId="3660D1A5" w14:textId="77777777">
        <w:tc>
          <w:tcPr>
            <w:tcW w:w="572" w:type="pct"/>
          </w:tcPr>
          <w:p w:rsidRPr="00F519A9" w:rsidR="00F519A9" w:rsidP="00F519A9" w:rsidRDefault="00F519A9" w14:paraId="75665B62" w14:textId="26AC63B5">
            <w:pPr>
              <w:pStyle w:val="Heading1"/>
              <w:numPr>
                <w:ilvl w:val="0"/>
                <w:numId w:val="0"/>
              </w:numPr>
              <w:spacing w:after="0"/>
              <w:ind w:left="680" w:hanging="680"/>
              <w:rPr>
                <w:rFonts w:cs="Arial"/>
                <w:b w:val="0"/>
                <w:bCs/>
                <w:sz w:val="20"/>
                <w:szCs w:val="20"/>
              </w:rPr>
            </w:pPr>
            <w:bookmarkStart w:name="_Toc172891764" w:id="34"/>
            <w:r w:rsidRPr="00F519A9">
              <w:rPr>
                <w:rFonts w:cs="Arial"/>
                <w:b w:val="0"/>
                <w:bCs/>
                <w:sz w:val="20"/>
                <w:szCs w:val="20"/>
              </w:rPr>
              <w:lastRenderedPageBreak/>
              <w:t>1 04</w:t>
            </w:r>
            <w:bookmarkEnd w:id="34"/>
          </w:p>
        </w:tc>
        <w:tc>
          <w:tcPr>
            <w:tcW w:w="1804" w:type="pct"/>
          </w:tcPr>
          <w:p w:rsidRPr="00D17767" w:rsidR="00F519A9" w:rsidP="00F519A9" w:rsidRDefault="00F519A9" w14:paraId="72CCBD61" w14:textId="77777777">
            <w:pPr>
              <w:rPr>
                <w:rFonts w:cs="Arial"/>
                <w:sz w:val="20"/>
                <w:szCs w:val="20"/>
              </w:rPr>
            </w:pPr>
          </w:p>
        </w:tc>
        <w:tc>
          <w:tcPr>
            <w:tcW w:w="984" w:type="pct"/>
          </w:tcPr>
          <w:p w:rsidRPr="00D17767" w:rsidR="00F519A9" w:rsidP="00F519A9" w:rsidRDefault="00F519A9" w14:paraId="338A18F7" w14:textId="77777777">
            <w:pPr>
              <w:rPr>
                <w:rFonts w:cs="Arial"/>
                <w:sz w:val="20"/>
                <w:szCs w:val="20"/>
              </w:rPr>
            </w:pPr>
          </w:p>
        </w:tc>
        <w:tc>
          <w:tcPr>
            <w:tcW w:w="1640" w:type="pct"/>
          </w:tcPr>
          <w:p w:rsidRPr="00D17767" w:rsidR="00F519A9" w:rsidP="00F519A9" w:rsidRDefault="00F519A9" w14:paraId="53EC96C4" w14:textId="008A0630">
            <w:pPr>
              <w:rPr>
                <w:rFonts w:cs="Arial"/>
                <w:sz w:val="20"/>
                <w:szCs w:val="20"/>
              </w:rPr>
            </w:pPr>
            <w:r w:rsidRPr="00D17767">
              <w:rPr>
                <w:rFonts w:cs="Arial"/>
                <w:sz w:val="20"/>
                <w:szCs w:val="20"/>
              </w:rPr>
              <w:t>Update to paragraph 47 to require Partners who have been granted devolved admissions to prepare their report for ULTAC in the PQER template (section 3b).</w:t>
            </w:r>
          </w:p>
        </w:tc>
      </w:tr>
      <w:tr w:rsidRPr="002E6BBA" w:rsidR="00F519A9" w:rsidTr="005E53B3" w14:paraId="7A8BC9D0" w14:textId="77777777">
        <w:tc>
          <w:tcPr>
            <w:tcW w:w="572" w:type="pct"/>
          </w:tcPr>
          <w:p w:rsidRPr="00F519A9" w:rsidR="00F519A9" w:rsidP="00F519A9" w:rsidRDefault="00F519A9" w14:paraId="559A45F9" w14:textId="1597DD2D">
            <w:pPr>
              <w:pStyle w:val="Heading1"/>
              <w:numPr>
                <w:ilvl w:val="0"/>
                <w:numId w:val="0"/>
              </w:numPr>
              <w:spacing w:after="0"/>
              <w:ind w:left="680" w:hanging="680"/>
              <w:rPr>
                <w:rFonts w:cs="Arial"/>
                <w:b w:val="0"/>
                <w:bCs/>
                <w:sz w:val="20"/>
                <w:szCs w:val="20"/>
              </w:rPr>
            </w:pPr>
            <w:bookmarkStart w:name="_Toc172891765" w:id="35"/>
            <w:r w:rsidRPr="00F519A9">
              <w:rPr>
                <w:rFonts w:cs="Arial"/>
                <w:b w:val="0"/>
                <w:bCs/>
                <w:sz w:val="20"/>
                <w:szCs w:val="20"/>
              </w:rPr>
              <w:t>1 03</w:t>
            </w:r>
            <w:bookmarkEnd w:id="35"/>
          </w:p>
        </w:tc>
        <w:tc>
          <w:tcPr>
            <w:tcW w:w="1804" w:type="pct"/>
          </w:tcPr>
          <w:p w:rsidRPr="00D17767" w:rsidR="00F519A9" w:rsidP="00F519A9" w:rsidRDefault="00F519A9" w14:paraId="1A7B4F28" w14:textId="77777777">
            <w:pPr>
              <w:rPr>
                <w:rFonts w:cs="Arial"/>
                <w:sz w:val="20"/>
                <w:szCs w:val="20"/>
              </w:rPr>
            </w:pPr>
          </w:p>
        </w:tc>
        <w:tc>
          <w:tcPr>
            <w:tcW w:w="984" w:type="pct"/>
          </w:tcPr>
          <w:p w:rsidRPr="00D17767" w:rsidR="00F519A9" w:rsidP="00F519A9" w:rsidRDefault="00F519A9" w14:paraId="07986203" w14:textId="452E61CE">
            <w:pPr>
              <w:rPr>
                <w:rFonts w:cs="Arial"/>
                <w:sz w:val="20"/>
                <w:szCs w:val="20"/>
              </w:rPr>
            </w:pPr>
            <w:r w:rsidRPr="00D17767">
              <w:rPr>
                <w:rFonts w:cs="Arial"/>
                <w:sz w:val="20"/>
                <w:szCs w:val="20"/>
              </w:rPr>
              <w:t>Housekeeping.</w:t>
            </w:r>
          </w:p>
        </w:tc>
        <w:tc>
          <w:tcPr>
            <w:tcW w:w="1640" w:type="pct"/>
          </w:tcPr>
          <w:p w:rsidRPr="00D17767" w:rsidR="00F519A9" w:rsidP="00F519A9" w:rsidRDefault="00F519A9" w14:paraId="335A774F" w14:textId="77777777">
            <w:pPr>
              <w:pStyle w:val="ListParagraph"/>
              <w:numPr>
                <w:ilvl w:val="0"/>
                <w:numId w:val="32"/>
              </w:numPr>
              <w:rPr>
                <w:rFonts w:cs="Arial"/>
                <w:sz w:val="20"/>
                <w:szCs w:val="20"/>
              </w:rPr>
            </w:pPr>
            <w:r w:rsidRPr="00D17767">
              <w:rPr>
                <w:rFonts w:cs="Arial"/>
                <w:sz w:val="20"/>
                <w:szCs w:val="20"/>
              </w:rPr>
              <w:t>Updates the code with reference to the new committee structure.</w:t>
            </w:r>
          </w:p>
          <w:p w:rsidRPr="00D17767" w:rsidR="00F519A9" w:rsidP="00F519A9" w:rsidRDefault="00F519A9" w14:paraId="7BF4D491" w14:textId="353D12BF">
            <w:pPr>
              <w:pStyle w:val="ListParagraph"/>
              <w:numPr>
                <w:ilvl w:val="0"/>
                <w:numId w:val="32"/>
              </w:numPr>
              <w:rPr>
                <w:rFonts w:cs="Arial"/>
                <w:sz w:val="20"/>
                <w:szCs w:val="20"/>
              </w:rPr>
            </w:pPr>
            <w:r w:rsidRPr="00D17767">
              <w:rPr>
                <w:rFonts w:cs="Arial"/>
                <w:sz w:val="20"/>
                <w:szCs w:val="20"/>
              </w:rPr>
              <w:t>Several amendments for clarity.</w:t>
            </w:r>
          </w:p>
        </w:tc>
      </w:tr>
      <w:tr w:rsidRPr="002E6BBA" w:rsidR="00F519A9" w:rsidTr="005E53B3" w14:paraId="07DDDC22" w14:textId="77777777">
        <w:tc>
          <w:tcPr>
            <w:tcW w:w="572" w:type="pct"/>
          </w:tcPr>
          <w:p w:rsidRPr="00F519A9" w:rsidR="00F519A9" w:rsidP="00F519A9" w:rsidRDefault="00F519A9" w14:paraId="42BC148D" w14:textId="61951D5F">
            <w:pPr>
              <w:rPr>
                <w:rFonts w:cs="Arial"/>
                <w:sz w:val="20"/>
                <w:szCs w:val="20"/>
              </w:rPr>
            </w:pPr>
            <w:r w:rsidRPr="00F519A9">
              <w:rPr>
                <w:rFonts w:cs="Arial"/>
                <w:sz w:val="20"/>
                <w:szCs w:val="20"/>
              </w:rPr>
              <w:t>1 02</w:t>
            </w:r>
          </w:p>
        </w:tc>
        <w:tc>
          <w:tcPr>
            <w:tcW w:w="1804" w:type="pct"/>
          </w:tcPr>
          <w:p w:rsidRPr="00D17767" w:rsidR="00F519A9" w:rsidP="00F519A9" w:rsidRDefault="00F519A9" w14:paraId="446D2F40" w14:textId="77777777">
            <w:pPr>
              <w:rPr>
                <w:rFonts w:cs="Arial"/>
                <w:sz w:val="20"/>
                <w:szCs w:val="20"/>
              </w:rPr>
            </w:pPr>
          </w:p>
        </w:tc>
        <w:tc>
          <w:tcPr>
            <w:tcW w:w="984" w:type="pct"/>
          </w:tcPr>
          <w:p w:rsidRPr="00D17767" w:rsidR="00F519A9" w:rsidP="00F519A9" w:rsidRDefault="00F519A9" w14:paraId="2BBA95C6" w14:textId="77777777">
            <w:pPr>
              <w:rPr>
                <w:rFonts w:cs="Arial"/>
                <w:sz w:val="20"/>
                <w:szCs w:val="20"/>
              </w:rPr>
            </w:pPr>
          </w:p>
        </w:tc>
        <w:tc>
          <w:tcPr>
            <w:tcW w:w="1640" w:type="pct"/>
          </w:tcPr>
          <w:p w:rsidRPr="00D17767" w:rsidR="00F519A9" w:rsidP="00F519A9" w:rsidRDefault="00F519A9" w14:paraId="7126E3AE" w14:textId="77777777">
            <w:pPr>
              <w:pStyle w:val="ListParagraph"/>
              <w:numPr>
                <w:ilvl w:val="0"/>
                <w:numId w:val="30"/>
              </w:numPr>
              <w:rPr>
                <w:rFonts w:cs="Arial"/>
                <w:sz w:val="20"/>
                <w:szCs w:val="20"/>
              </w:rPr>
            </w:pPr>
            <w:r w:rsidRPr="00D17767">
              <w:rPr>
                <w:rFonts w:cs="Arial"/>
                <w:sz w:val="20"/>
                <w:szCs w:val="20"/>
              </w:rPr>
              <w:t>Provides greater detail regarding the reports which are to be provided to the University by those Partners with devolved admissions authority and provides a template for use when preparing the reports. This template is published as annexe 2.</w:t>
            </w:r>
          </w:p>
          <w:p w:rsidRPr="00D17767" w:rsidR="00F519A9" w:rsidP="00F519A9" w:rsidRDefault="00F519A9" w14:paraId="0DC60708" w14:textId="77777777">
            <w:pPr>
              <w:pStyle w:val="ListParagraph"/>
              <w:numPr>
                <w:ilvl w:val="0"/>
                <w:numId w:val="30"/>
              </w:numPr>
              <w:rPr>
                <w:rFonts w:cs="Arial"/>
                <w:sz w:val="20"/>
                <w:szCs w:val="20"/>
              </w:rPr>
            </w:pPr>
            <w:r w:rsidRPr="00D17767">
              <w:rPr>
                <w:rFonts w:cs="Arial"/>
                <w:sz w:val="20"/>
                <w:szCs w:val="20"/>
              </w:rPr>
              <w:t>Clarifies the relative roles of CPC and QSC.</w:t>
            </w:r>
          </w:p>
          <w:p w:rsidRPr="00D17767" w:rsidR="00F519A9" w:rsidP="00F519A9" w:rsidRDefault="00F519A9" w14:paraId="30109982" w14:textId="441C53C2">
            <w:pPr>
              <w:pStyle w:val="ListParagraph"/>
              <w:numPr>
                <w:ilvl w:val="0"/>
                <w:numId w:val="30"/>
              </w:numPr>
              <w:rPr>
                <w:rFonts w:cs="Arial"/>
                <w:sz w:val="20"/>
                <w:szCs w:val="20"/>
              </w:rPr>
            </w:pPr>
            <w:r w:rsidRPr="00D17767">
              <w:rPr>
                <w:rFonts w:cs="Arial"/>
                <w:sz w:val="20"/>
                <w:szCs w:val="20"/>
              </w:rPr>
              <w:t>Clarifies the definition of “special cases”</w:t>
            </w:r>
          </w:p>
        </w:tc>
      </w:tr>
      <w:tr w:rsidRPr="002E6BBA" w:rsidR="00F519A9" w:rsidTr="005E53B3" w14:paraId="0D857051" w14:textId="77777777">
        <w:tc>
          <w:tcPr>
            <w:tcW w:w="572" w:type="pct"/>
          </w:tcPr>
          <w:p w:rsidR="00F519A9" w:rsidP="00F519A9" w:rsidRDefault="00F519A9" w14:paraId="6BF38625" w14:textId="1F50E98C">
            <w:pPr>
              <w:rPr>
                <w:rFonts w:cs="Arial"/>
              </w:rPr>
            </w:pPr>
            <w:r>
              <w:rPr>
                <w:rFonts w:cs="Arial"/>
              </w:rPr>
              <w:t>1 01</w:t>
            </w:r>
          </w:p>
        </w:tc>
        <w:tc>
          <w:tcPr>
            <w:tcW w:w="1804" w:type="pct"/>
          </w:tcPr>
          <w:p w:rsidRPr="00D17767" w:rsidR="00F519A9" w:rsidP="00F519A9" w:rsidRDefault="00F519A9" w14:paraId="786E172C" w14:textId="77777777">
            <w:pPr>
              <w:rPr>
                <w:rFonts w:cs="Arial"/>
                <w:sz w:val="20"/>
                <w:szCs w:val="20"/>
              </w:rPr>
            </w:pPr>
          </w:p>
        </w:tc>
        <w:tc>
          <w:tcPr>
            <w:tcW w:w="984" w:type="pct"/>
          </w:tcPr>
          <w:p w:rsidRPr="00D17767" w:rsidR="00F519A9" w:rsidP="00F519A9" w:rsidRDefault="00F519A9" w14:paraId="327BFC2E" w14:textId="77777777">
            <w:pPr>
              <w:rPr>
                <w:rFonts w:cs="Arial"/>
                <w:sz w:val="20"/>
                <w:szCs w:val="20"/>
              </w:rPr>
            </w:pPr>
          </w:p>
        </w:tc>
        <w:tc>
          <w:tcPr>
            <w:tcW w:w="1640" w:type="pct"/>
          </w:tcPr>
          <w:p w:rsidRPr="00D17767" w:rsidR="00F519A9" w:rsidP="00F519A9" w:rsidRDefault="00F519A9" w14:paraId="7D9F33EF" w14:textId="77777777">
            <w:pPr>
              <w:pStyle w:val="ListParagraph"/>
              <w:numPr>
                <w:ilvl w:val="0"/>
                <w:numId w:val="29"/>
              </w:numPr>
              <w:rPr>
                <w:rFonts w:cs="Arial"/>
                <w:sz w:val="20"/>
                <w:szCs w:val="20"/>
              </w:rPr>
            </w:pPr>
            <w:r w:rsidRPr="00D17767">
              <w:rPr>
                <w:rFonts w:cs="Arial"/>
                <w:sz w:val="20"/>
                <w:szCs w:val="20"/>
              </w:rPr>
              <w:t>In line with legislation related to age discrimination the requirement for applicants over 21 be handled as ‘special cases’ has been removed.</w:t>
            </w:r>
          </w:p>
          <w:p w:rsidRPr="00D17767" w:rsidR="00F519A9" w:rsidP="00F519A9" w:rsidRDefault="00F519A9" w14:paraId="7353AFBE" w14:textId="77777777">
            <w:pPr>
              <w:pStyle w:val="ListParagraph"/>
              <w:numPr>
                <w:ilvl w:val="0"/>
                <w:numId w:val="29"/>
              </w:numPr>
              <w:rPr>
                <w:rFonts w:cs="Arial"/>
                <w:sz w:val="20"/>
                <w:szCs w:val="20"/>
              </w:rPr>
            </w:pPr>
            <w:r w:rsidRPr="00D17767">
              <w:rPr>
                <w:rFonts w:cs="Arial"/>
                <w:sz w:val="20"/>
                <w:szCs w:val="20"/>
              </w:rPr>
              <w:t>Paragraph 38 of the Code has been revised to provide an exemption for PI staff applying for teacher training programmes.</w:t>
            </w:r>
          </w:p>
          <w:p w:rsidRPr="00D17767" w:rsidR="00F519A9" w:rsidP="00F519A9" w:rsidRDefault="00F519A9" w14:paraId="59863AAA" w14:textId="78D3E060">
            <w:pPr>
              <w:pStyle w:val="ListParagraph"/>
              <w:numPr>
                <w:ilvl w:val="0"/>
                <w:numId w:val="29"/>
              </w:numPr>
              <w:rPr>
                <w:rFonts w:cs="Arial"/>
                <w:sz w:val="20"/>
                <w:szCs w:val="20"/>
              </w:rPr>
            </w:pPr>
            <w:r w:rsidRPr="00D17767">
              <w:rPr>
                <w:rFonts w:cs="Arial"/>
                <w:sz w:val="20"/>
                <w:szCs w:val="20"/>
              </w:rPr>
              <w:t>References to AAC have been removed and replaced as appropriate.</w:t>
            </w:r>
            <w:r w:rsidRPr="00D17767">
              <w:rPr>
                <w:rFonts w:cs="Arial"/>
                <w:sz w:val="20"/>
                <w:szCs w:val="20"/>
              </w:rPr>
              <w:tab/>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678DE90"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E5D8A">
          <w:rPr>
            <w:color w:val="0E1647"/>
            <w:sz w:val="20"/>
            <w:szCs w:val="20"/>
          </w:rPr>
          <w:t>2 00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E5D8A">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rPr>
          <w:sz w:val="18"/>
          <w:szCs w:val="18"/>
        </w:rPr>
      </w:sdtEndPr>
      <w:sdtContent>
        <w:r w:rsidR="000E5D8A">
          <w:rPr>
            <w:color w:val="0E1647"/>
            <w:sz w:val="20"/>
            <w:szCs w:val="20"/>
          </w:rPr>
          <w:t>23 July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2FF4C43"/>
    <w:multiLevelType w:val="hybridMultilevel"/>
    <w:tmpl w:val="EB5CD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42410E"/>
    <w:multiLevelType w:val="hybridMultilevel"/>
    <w:tmpl w:val="E4AA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71CDAB2"/>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164373"/>
    <w:multiLevelType w:val="hybridMultilevel"/>
    <w:tmpl w:val="AE043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E15C5"/>
    <w:multiLevelType w:val="hybridMultilevel"/>
    <w:tmpl w:val="92485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DF81CC4"/>
    <w:multiLevelType w:val="hybridMultilevel"/>
    <w:tmpl w:val="9B626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B7409F"/>
    <w:multiLevelType w:val="hybridMultilevel"/>
    <w:tmpl w:val="8E444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18"/>
  </w:num>
  <w:num w:numId="3" w16cid:durableId="941954303">
    <w:abstractNumId w:val="22"/>
  </w:num>
  <w:num w:numId="4" w16cid:durableId="524560203">
    <w:abstractNumId w:val="0"/>
  </w:num>
  <w:num w:numId="5" w16cid:durableId="1627469934">
    <w:abstractNumId w:val="1"/>
  </w:num>
  <w:num w:numId="6" w16cid:durableId="680661117">
    <w:abstractNumId w:val="19"/>
  </w:num>
  <w:num w:numId="7" w16cid:durableId="618489342">
    <w:abstractNumId w:val="26"/>
  </w:num>
  <w:num w:numId="8" w16cid:durableId="38600704">
    <w:abstractNumId w:val="12"/>
  </w:num>
  <w:num w:numId="9" w16cid:durableId="196748008">
    <w:abstractNumId w:val="20"/>
  </w:num>
  <w:num w:numId="10" w16cid:durableId="674041465">
    <w:abstractNumId w:val="10"/>
  </w:num>
  <w:num w:numId="11" w16cid:durableId="1829788642">
    <w:abstractNumId w:val="9"/>
  </w:num>
  <w:num w:numId="12" w16cid:durableId="1614629240">
    <w:abstractNumId w:val="5"/>
  </w:num>
  <w:num w:numId="13" w16cid:durableId="615139952">
    <w:abstractNumId w:val="27"/>
  </w:num>
  <w:num w:numId="14" w16cid:durableId="1635480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5"/>
  </w:num>
  <w:num w:numId="20" w16cid:durableId="1417629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8"/>
  </w:num>
  <w:num w:numId="24" w16cid:durableId="2128428633">
    <w:abstractNumId w:val="6"/>
  </w:num>
  <w:num w:numId="25" w16cid:durableId="1281495573">
    <w:abstractNumId w:val="21"/>
  </w:num>
  <w:num w:numId="26" w16cid:durableId="121654258">
    <w:abstractNumId w:val="13"/>
  </w:num>
  <w:num w:numId="27" w16cid:durableId="195434652">
    <w:abstractNumId w:val="13"/>
  </w:num>
  <w:num w:numId="28" w16cid:durableId="477962425">
    <w:abstractNumId w:val="7"/>
  </w:num>
  <w:num w:numId="29" w16cid:durableId="388109796">
    <w:abstractNumId w:val="24"/>
  </w:num>
  <w:num w:numId="30" w16cid:durableId="1210805087">
    <w:abstractNumId w:val="23"/>
  </w:num>
  <w:num w:numId="31" w16cid:durableId="933825783">
    <w:abstractNumId w:val="16"/>
  </w:num>
  <w:num w:numId="32" w16cid:durableId="859466343">
    <w:abstractNumId w:val="15"/>
  </w:num>
  <w:num w:numId="33" w16cid:durableId="1922832744">
    <w:abstractNumId w:val="13"/>
    <w:lvlOverride w:ilvl="0">
      <w:startOverride w:val="1"/>
    </w:lvlOverride>
  </w:num>
  <w:num w:numId="34" w16cid:durableId="1541747920">
    <w:abstractNumId w:val="13"/>
    <w:lvlOverride w:ilvl="0">
      <w:startOverride w:val="1"/>
    </w:lvlOverride>
  </w:num>
  <w:num w:numId="35" w16cid:durableId="1206406179">
    <w:abstractNumId w:val="13"/>
    <w:lvlOverride w:ilvl="0">
      <w:startOverride w:val="1"/>
    </w:lvlOverride>
  </w:num>
  <w:num w:numId="36" w16cid:durableId="170534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5D8A"/>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1602"/>
    <w:rsid w:val="002C551E"/>
    <w:rsid w:val="002E01C0"/>
    <w:rsid w:val="002E110E"/>
    <w:rsid w:val="002E3203"/>
    <w:rsid w:val="002E6BBA"/>
    <w:rsid w:val="002E6FFE"/>
    <w:rsid w:val="002F3230"/>
    <w:rsid w:val="002F6127"/>
    <w:rsid w:val="003169AC"/>
    <w:rsid w:val="00317908"/>
    <w:rsid w:val="00320E0A"/>
    <w:rsid w:val="00325F9D"/>
    <w:rsid w:val="0034195C"/>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63D5"/>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B2303"/>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26BCD"/>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3C9C"/>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07CA"/>
    <w:rsid w:val="009C131D"/>
    <w:rsid w:val="009C23F4"/>
    <w:rsid w:val="009C3AB3"/>
    <w:rsid w:val="009D0825"/>
    <w:rsid w:val="009D42D4"/>
    <w:rsid w:val="009E3063"/>
    <w:rsid w:val="009E3F43"/>
    <w:rsid w:val="009E7A37"/>
    <w:rsid w:val="009F20A5"/>
    <w:rsid w:val="00A01DD0"/>
    <w:rsid w:val="00A156D5"/>
    <w:rsid w:val="00A22FE2"/>
    <w:rsid w:val="00A35820"/>
    <w:rsid w:val="00A41374"/>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1BFB"/>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2503A"/>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5369"/>
    <w:rsid w:val="00BA6378"/>
    <w:rsid w:val="00BA6837"/>
    <w:rsid w:val="00BA6B87"/>
    <w:rsid w:val="00BB08BF"/>
    <w:rsid w:val="00BB46F4"/>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17767"/>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1E05"/>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19A9"/>
    <w:rsid w:val="00F530EA"/>
    <w:rsid w:val="00F532E9"/>
    <w:rsid w:val="00F56FEA"/>
    <w:rsid w:val="00F65878"/>
    <w:rsid w:val="00F70AE5"/>
    <w:rsid w:val="00F77644"/>
    <w:rsid w:val="00F82F67"/>
    <w:rsid w:val="00F86C54"/>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ull.ac.uk/choose-hull/study-at-hull/admissions/docs/policies/general-policy-for-student-admis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4195C"/>
    <w:rsid w:val="00441CBD"/>
    <w:rsid w:val="0054449F"/>
    <w:rsid w:val="00544843"/>
    <w:rsid w:val="005C4CE9"/>
    <w:rsid w:val="00627A49"/>
    <w:rsid w:val="007F2846"/>
    <w:rsid w:val="00937783"/>
    <w:rsid w:val="009836DA"/>
    <w:rsid w:val="009F088A"/>
    <w:rsid w:val="00AB323C"/>
    <w:rsid w:val="00BB46F4"/>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2024-07-23T00:00:00</PublishDate>
  <Abstract>Devolution of Admissions Decisions to Partner Institutions offering Collaborative Programmes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25723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 Devolution of Admissions v2 00 July 2024</dc:title>
  <dc:subject>
  </dc:subject>
  <dc:creator>Katie J Skilton</dc:creator>
  <cp:keywords>
  </cp:keywords>
  <dc:description>
  </dc:description>
  <cp:lastModifiedBy>lisa Tees</cp:lastModifiedBy>
  <cp:revision>38</cp:revision>
  <cp:lastPrinted>2018-01-15T16:18:00Z</cp:lastPrinted>
  <dcterms:created xsi:type="dcterms:W3CDTF">2024-03-15T12:22:00Z</dcterms:created>
  <dcterms:modified xsi:type="dcterms:W3CDTF">2024-08-13T07:42:55Z</dcterms:modified>
  <cp:contentStatus>2 00</cp:contentStatus>
</cp:coreProperties>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