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8B792B" w14:paraId="567FF2F5" w14:textId="1373CF12">
          <w:pPr>
            <w:pStyle w:val="PolicyTitle"/>
            <w:spacing w:after="360" w:line="240" w:lineRule="auto"/>
            <w:rPr>
              <w:sz w:val="36"/>
              <w:szCs w:val="36"/>
            </w:rPr>
          </w:pPr>
          <w:r>
            <w:rPr>
              <w:sz w:val="36"/>
              <w:szCs w:val="36"/>
            </w:rPr>
            <w:t>Academic Referencing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F9355E" w14:paraId="39306864" w14:textId="39013846">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8B792B">
                  <w:rPr>
                    <w:b w:val="0"/>
                    <w:bCs/>
                    <w:color w:val="auto"/>
                    <w:sz w:val="22"/>
                    <w:szCs w:val="22"/>
                  </w:rPr>
                  <w:t>Policy</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F9355E" w14:paraId="31B699F8" w14:textId="4BB0577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792B">
                  <w:rPr>
                    <w:b w:val="0"/>
                    <w:bCs/>
                    <w:color w:val="auto"/>
                    <w:sz w:val="22"/>
                    <w:szCs w:val="22"/>
                  </w:rPr>
                  <w:t>1 03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F9355E" w14:paraId="086EE632" w14:textId="73E727F1">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8B792B">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F9355E" w14:paraId="61A4A8F3" w14:textId="0DA3924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8B792B">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F9355E" w14:paraId="1252F2F2" w14:textId="3130EB21">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sdtContent>
                <w:r w:rsidR="008B792B">
                  <w:rPr>
                    <w:b w:val="0"/>
                    <w:bCs/>
                    <w:color w:val="auto"/>
                    <w:sz w:val="22"/>
                    <w:szCs w:val="22"/>
                  </w:rPr>
                  <w:t>22 October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F9355E" w14:paraId="3AC671EE" w14:textId="0E5EA107">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0-22T00:00:00Z">
                  <w:dateFormat w:val="dd MMMM yyyy"/>
                  <w:lid w:val="en-GB"/>
                  <w:storeMappedDataAs w:val="dateTime"/>
                  <w:calendar w:val="gregorian"/>
                </w:date>
              </w:sdtPr>
              <w:sdtEndPr/>
              <w:sdtContent>
                <w:r w:rsidR="008B792B">
                  <w:rPr>
                    <w:b w:val="0"/>
                    <w:bCs/>
                    <w:color w:val="auto"/>
                    <w:sz w:val="22"/>
                    <w:szCs w:val="22"/>
                  </w:rPr>
                  <w:t>22 October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F9355E" w14:paraId="5101B7D5" w14:textId="178F803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8B792B">
                  <w:rPr>
                    <w:b w:val="0"/>
                    <w:bCs/>
                    <w:color w:val="auto"/>
                    <w:sz w:val="22"/>
                    <w:szCs w:val="22"/>
                  </w:rPr>
                  <w:t>2029-30</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F9355E" w14:paraId="5EBE624B" w14:textId="56AEDBC6">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B792B">
                  <w:rPr>
                    <w:b w:val="0"/>
                    <w:bCs/>
                    <w:color w:val="auto"/>
                    <w:sz w:val="22"/>
                    <w:szCs w:val="22"/>
                  </w:rPr>
                  <w:t>University Library</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F9355E" w14:paraId="196463B0" w14:textId="18678EB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B792B">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31C9489" w14:textId="77777777">
            <w:pPr>
              <w:pStyle w:val="PolicyTitle"/>
              <w:spacing w:after="240"/>
              <w:rPr>
                <w:color w:val="auto"/>
                <w:sz w:val="22"/>
                <w:szCs w:val="22"/>
              </w:rPr>
            </w:pPr>
            <w:r w:rsidRPr="005C3775">
              <w:rPr>
                <w:color w:val="auto"/>
                <w:sz w:val="22"/>
                <w:szCs w:val="22"/>
              </w:rPr>
              <w:t>Contact:</w:t>
            </w:r>
          </w:p>
          <w:p w:rsidRPr="005C3775" w:rsidR="008B792B" w:rsidP="00E73AF9" w:rsidRDefault="008B792B" w14:paraId="17A0E353" w14:textId="299B83F6">
            <w:pPr>
              <w:pStyle w:val="PolicyTitle"/>
              <w:spacing w:after="240"/>
              <w:rPr>
                <w:color w:val="auto"/>
                <w:sz w:val="22"/>
                <w:szCs w:val="22"/>
              </w:rPr>
            </w:pPr>
            <w:r>
              <w:rPr>
                <w:color w:val="auto"/>
                <w:sz w:val="22"/>
                <w:szCs w:val="22"/>
              </w:rPr>
              <w:t>Report exemptions to:</w:t>
            </w:r>
          </w:p>
        </w:tc>
        <w:tc>
          <w:tcPr>
            <w:tcW w:w="6336" w:type="dxa"/>
          </w:tcPr>
          <w:p w:rsidR="00FD5282" w:rsidP="00E73AF9" w:rsidRDefault="00F9355E" w14:paraId="117BC2D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8B792B">
                  <w:rPr>
                    <w:b w:val="0"/>
                    <w:bCs/>
                    <w:color w:val="auto"/>
                    <w:sz w:val="22"/>
                    <w:szCs w:val="22"/>
                    <w:lang w:val="it-IT"/>
                  </w:rPr>
                  <w:t>Quality Support Service</w:t>
                </w:r>
              </w:sdtContent>
            </w:sdt>
          </w:p>
          <w:p w:rsidRPr="008B792B" w:rsidR="008B792B" w:rsidP="008B792B" w:rsidRDefault="008B792B" w14:paraId="123D99E2" w14:textId="6D23FF88">
            <w:r>
              <w:t>Quality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F9355E" w14:paraId="2461BAFE" w14:textId="6E7E99D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8B792B">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F9355E" w14:paraId="30450FD0" w14:textId="7470848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8B792B">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F9355E" w14:paraId="10AD8CAD" w14:textId="0C9D44F4">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8B792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F9355E" w14:paraId="047E3FAD" w14:textId="2887A2F2">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8B792B" w:rsidR="008B792B">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8B792B" w14:paraId="338EF9A3" w14:textId="4BC27F19">
          <w:pPr>
            <w:pStyle w:val="PolicyTitle"/>
            <w:spacing w:after="360" w:line="240" w:lineRule="auto"/>
            <w:rPr>
              <w:sz w:val="36"/>
              <w:szCs w:val="36"/>
            </w:rPr>
          </w:pPr>
          <w:r>
            <w:rPr>
              <w:sz w:val="36"/>
              <w:szCs w:val="36"/>
            </w:rPr>
            <w:t>Academic Referencing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9355E" w:rsidRDefault="00F24D55" w14:paraId="279046C7" w14:textId="5918C8AA">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9803260">
            <w:r w:rsidRPr="005C5F37" w:rsidR="00F9355E">
              <w:rPr>
                <w:rStyle w:val="Hyperlink"/>
                <w:noProof/>
              </w:rPr>
              <w:t>1</w:t>
            </w:r>
            <w:r w:rsidR="00F9355E">
              <w:rPr>
                <w:rFonts w:asciiTheme="minorHAnsi" w:hAnsiTheme="minorHAnsi" w:cstheme="minorBidi"/>
                <w:noProof/>
                <w:kern w:val="2"/>
                <w:sz w:val="24"/>
                <w:szCs w:val="24"/>
                <w:lang w:val="en-GB" w:eastAsia="en-GB"/>
                <w14:ligatures w14:val="standardContextual"/>
              </w:rPr>
              <w:tab/>
            </w:r>
            <w:r w:rsidRPr="005C5F37" w:rsidR="00F9355E">
              <w:rPr>
                <w:rStyle w:val="Hyperlink"/>
                <w:noProof/>
              </w:rPr>
              <w:t>Introduction</w:t>
            </w:r>
            <w:r w:rsidR="00F9355E">
              <w:rPr>
                <w:noProof/>
                <w:webHidden/>
              </w:rPr>
              <w:tab/>
            </w:r>
            <w:r w:rsidR="00F9355E">
              <w:rPr>
                <w:noProof/>
                <w:webHidden/>
              </w:rPr>
              <w:fldChar w:fldCharType="begin"/>
            </w:r>
            <w:r w:rsidR="00F9355E">
              <w:rPr>
                <w:noProof/>
                <w:webHidden/>
              </w:rPr>
              <w:instrText xml:space="preserve"> PAGEREF _Toc179803260 \h </w:instrText>
            </w:r>
            <w:r w:rsidR="00F9355E">
              <w:rPr>
                <w:noProof/>
                <w:webHidden/>
              </w:rPr>
            </w:r>
            <w:r w:rsidR="00F9355E">
              <w:rPr>
                <w:noProof/>
                <w:webHidden/>
              </w:rPr>
              <w:fldChar w:fldCharType="separate"/>
            </w:r>
            <w:r w:rsidR="00F9355E">
              <w:rPr>
                <w:noProof/>
                <w:webHidden/>
              </w:rPr>
              <w:t>3</w:t>
            </w:r>
            <w:r w:rsidR="00F9355E">
              <w:rPr>
                <w:noProof/>
                <w:webHidden/>
              </w:rPr>
              <w:fldChar w:fldCharType="end"/>
            </w:r>
          </w:hyperlink>
        </w:p>
        <w:p w:rsidR="00F9355E" w:rsidRDefault="00F9355E" w14:paraId="64F80B12" w14:textId="40A62A1C">
          <w:pPr>
            <w:pStyle w:val="TOC2"/>
            <w:rPr>
              <w:rFonts w:asciiTheme="minorHAnsi" w:hAnsiTheme="minorHAnsi" w:cstheme="minorBidi"/>
              <w:noProof/>
              <w:kern w:val="2"/>
              <w:sz w:val="24"/>
              <w:szCs w:val="24"/>
              <w:lang w:val="en-GB" w:eastAsia="en-GB"/>
              <w14:ligatures w14:val="standardContextual"/>
            </w:rPr>
          </w:pPr>
          <w:hyperlink w:history="1" w:anchor="_Toc179803261">
            <w:r w:rsidRPr="005C5F37">
              <w:rPr>
                <w:rStyle w:val="Hyperlink"/>
                <w:noProof/>
              </w:rPr>
              <w:t>Scope</w:t>
            </w:r>
            <w:r>
              <w:rPr>
                <w:noProof/>
                <w:webHidden/>
              </w:rPr>
              <w:tab/>
            </w:r>
            <w:r>
              <w:rPr>
                <w:noProof/>
                <w:webHidden/>
              </w:rPr>
              <w:fldChar w:fldCharType="begin"/>
            </w:r>
            <w:r>
              <w:rPr>
                <w:noProof/>
                <w:webHidden/>
              </w:rPr>
              <w:instrText xml:space="preserve"> PAGEREF _Toc179803261 \h </w:instrText>
            </w:r>
            <w:r>
              <w:rPr>
                <w:noProof/>
                <w:webHidden/>
              </w:rPr>
            </w:r>
            <w:r>
              <w:rPr>
                <w:noProof/>
                <w:webHidden/>
              </w:rPr>
              <w:fldChar w:fldCharType="separate"/>
            </w:r>
            <w:r>
              <w:rPr>
                <w:noProof/>
                <w:webHidden/>
              </w:rPr>
              <w:t>3</w:t>
            </w:r>
            <w:r>
              <w:rPr>
                <w:noProof/>
                <w:webHidden/>
              </w:rPr>
              <w:fldChar w:fldCharType="end"/>
            </w:r>
          </w:hyperlink>
        </w:p>
        <w:p w:rsidR="00F9355E" w:rsidRDefault="00F9355E" w14:paraId="1ACD9605" w14:textId="2C2E40BB">
          <w:pPr>
            <w:pStyle w:val="TOC1"/>
            <w:rPr>
              <w:rFonts w:asciiTheme="minorHAnsi" w:hAnsiTheme="minorHAnsi" w:cstheme="minorBidi"/>
              <w:noProof/>
              <w:kern w:val="2"/>
              <w:sz w:val="24"/>
              <w:szCs w:val="24"/>
              <w:lang w:val="en-GB" w:eastAsia="en-GB"/>
              <w14:ligatures w14:val="standardContextual"/>
            </w:rPr>
          </w:pPr>
          <w:hyperlink w:history="1" w:anchor="_Toc179803262">
            <w:r w:rsidRPr="005C5F37">
              <w:rPr>
                <w:rStyle w:val="Hyperlink"/>
                <w:noProof/>
              </w:rPr>
              <w:t>2</w:t>
            </w:r>
            <w:r>
              <w:rPr>
                <w:rFonts w:asciiTheme="minorHAnsi" w:hAnsiTheme="minorHAnsi" w:cstheme="minorBidi"/>
                <w:noProof/>
                <w:kern w:val="2"/>
                <w:sz w:val="24"/>
                <w:szCs w:val="24"/>
                <w:lang w:val="en-GB" w:eastAsia="en-GB"/>
                <w14:ligatures w14:val="standardContextual"/>
              </w:rPr>
              <w:tab/>
            </w:r>
            <w:r w:rsidRPr="005C5F37">
              <w:rPr>
                <w:rStyle w:val="Hyperlink"/>
                <w:noProof/>
              </w:rPr>
              <w:t>Principles</w:t>
            </w:r>
            <w:r>
              <w:rPr>
                <w:noProof/>
                <w:webHidden/>
              </w:rPr>
              <w:tab/>
            </w:r>
            <w:r>
              <w:rPr>
                <w:noProof/>
                <w:webHidden/>
              </w:rPr>
              <w:fldChar w:fldCharType="begin"/>
            </w:r>
            <w:r>
              <w:rPr>
                <w:noProof/>
                <w:webHidden/>
              </w:rPr>
              <w:instrText xml:space="preserve"> PAGEREF _Toc179803262 \h </w:instrText>
            </w:r>
            <w:r>
              <w:rPr>
                <w:noProof/>
                <w:webHidden/>
              </w:rPr>
            </w:r>
            <w:r>
              <w:rPr>
                <w:noProof/>
                <w:webHidden/>
              </w:rPr>
              <w:fldChar w:fldCharType="separate"/>
            </w:r>
            <w:r>
              <w:rPr>
                <w:noProof/>
                <w:webHidden/>
              </w:rPr>
              <w:t>3</w:t>
            </w:r>
            <w:r>
              <w:rPr>
                <w:noProof/>
                <w:webHidden/>
              </w:rPr>
              <w:fldChar w:fldCharType="end"/>
            </w:r>
          </w:hyperlink>
        </w:p>
        <w:p w:rsidR="00F9355E" w:rsidRDefault="00F9355E" w14:paraId="5C01078B" w14:textId="0F22BECB">
          <w:pPr>
            <w:pStyle w:val="TOC1"/>
            <w:rPr>
              <w:rFonts w:asciiTheme="minorHAnsi" w:hAnsiTheme="minorHAnsi" w:cstheme="minorBidi"/>
              <w:noProof/>
              <w:kern w:val="2"/>
              <w:sz w:val="24"/>
              <w:szCs w:val="24"/>
              <w:lang w:val="en-GB" w:eastAsia="en-GB"/>
              <w14:ligatures w14:val="standardContextual"/>
            </w:rPr>
          </w:pPr>
          <w:hyperlink w:history="1" w:anchor="_Toc179803263">
            <w:r w:rsidRPr="005C5F37">
              <w:rPr>
                <w:rStyle w:val="Hyperlink"/>
                <w:noProof/>
              </w:rPr>
              <w:t>3</w:t>
            </w:r>
            <w:r>
              <w:rPr>
                <w:rFonts w:asciiTheme="minorHAnsi" w:hAnsiTheme="minorHAnsi" w:cstheme="minorBidi"/>
                <w:noProof/>
                <w:kern w:val="2"/>
                <w:sz w:val="24"/>
                <w:szCs w:val="24"/>
                <w:lang w:val="en-GB" w:eastAsia="en-GB"/>
                <w14:ligatures w14:val="standardContextual"/>
              </w:rPr>
              <w:tab/>
            </w:r>
            <w:r w:rsidRPr="005C5F37">
              <w:rPr>
                <w:rStyle w:val="Hyperlink"/>
                <w:noProof/>
              </w:rPr>
              <w:t>Requirements</w:t>
            </w:r>
            <w:r>
              <w:rPr>
                <w:noProof/>
                <w:webHidden/>
              </w:rPr>
              <w:tab/>
            </w:r>
            <w:r>
              <w:rPr>
                <w:noProof/>
                <w:webHidden/>
              </w:rPr>
              <w:fldChar w:fldCharType="begin"/>
            </w:r>
            <w:r>
              <w:rPr>
                <w:noProof/>
                <w:webHidden/>
              </w:rPr>
              <w:instrText xml:space="preserve"> PAGEREF _Toc179803263 \h </w:instrText>
            </w:r>
            <w:r>
              <w:rPr>
                <w:noProof/>
                <w:webHidden/>
              </w:rPr>
            </w:r>
            <w:r>
              <w:rPr>
                <w:noProof/>
                <w:webHidden/>
              </w:rPr>
              <w:fldChar w:fldCharType="separate"/>
            </w:r>
            <w:r>
              <w:rPr>
                <w:noProof/>
                <w:webHidden/>
              </w:rPr>
              <w:t>3</w:t>
            </w:r>
            <w:r>
              <w:rPr>
                <w:noProof/>
                <w:webHidden/>
              </w:rPr>
              <w:fldChar w:fldCharType="end"/>
            </w:r>
          </w:hyperlink>
        </w:p>
        <w:p w:rsidR="00F9355E" w:rsidRDefault="00F9355E" w14:paraId="2E8B5582" w14:textId="73A015D7">
          <w:pPr>
            <w:pStyle w:val="TOC1"/>
            <w:rPr>
              <w:rFonts w:asciiTheme="minorHAnsi" w:hAnsiTheme="minorHAnsi" w:cstheme="minorBidi"/>
              <w:noProof/>
              <w:kern w:val="2"/>
              <w:sz w:val="24"/>
              <w:szCs w:val="24"/>
              <w:lang w:val="en-GB" w:eastAsia="en-GB"/>
              <w14:ligatures w14:val="standardContextual"/>
            </w:rPr>
          </w:pPr>
          <w:hyperlink w:history="1" w:anchor="_Toc179803264">
            <w:r w:rsidRPr="005C5F37">
              <w:rPr>
                <w:rStyle w:val="Hyperlink"/>
                <w:noProof/>
              </w:rPr>
              <w:t>4</w:t>
            </w:r>
            <w:r>
              <w:rPr>
                <w:rFonts w:asciiTheme="minorHAnsi" w:hAnsiTheme="minorHAnsi" w:cstheme="minorBidi"/>
                <w:noProof/>
                <w:kern w:val="2"/>
                <w:sz w:val="24"/>
                <w:szCs w:val="24"/>
                <w:lang w:val="en-GB" w:eastAsia="en-GB"/>
                <w14:ligatures w14:val="standardContextual"/>
              </w:rPr>
              <w:tab/>
            </w:r>
            <w:r w:rsidRPr="005C5F37">
              <w:rPr>
                <w:rStyle w:val="Hyperlink"/>
                <w:noProof/>
              </w:rPr>
              <w:t>Responsibilities</w:t>
            </w:r>
            <w:r>
              <w:rPr>
                <w:noProof/>
                <w:webHidden/>
              </w:rPr>
              <w:tab/>
            </w:r>
            <w:r>
              <w:rPr>
                <w:noProof/>
                <w:webHidden/>
              </w:rPr>
              <w:fldChar w:fldCharType="begin"/>
            </w:r>
            <w:r>
              <w:rPr>
                <w:noProof/>
                <w:webHidden/>
              </w:rPr>
              <w:instrText xml:space="preserve"> PAGEREF _Toc179803264 \h </w:instrText>
            </w:r>
            <w:r>
              <w:rPr>
                <w:noProof/>
                <w:webHidden/>
              </w:rPr>
            </w:r>
            <w:r>
              <w:rPr>
                <w:noProof/>
                <w:webHidden/>
              </w:rPr>
              <w:fldChar w:fldCharType="separate"/>
            </w:r>
            <w:r>
              <w:rPr>
                <w:noProof/>
                <w:webHidden/>
              </w:rPr>
              <w:t>3</w:t>
            </w:r>
            <w:r>
              <w:rPr>
                <w:noProof/>
                <w:webHidden/>
              </w:rPr>
              <w:fldChar w:fldCharType="end"/>
            </w:r>
          </w:hyperlink>
        </w:p>
        <w:p w:rsidR="00F9355E" w:rsidRDefault="00F9355E" w14:paraId="325C394A" w14:textId="07D00CAF">
          <w:pPr>
            <w:pStyle w:val="TOC1"/>
            <w:rPr>
              <w:rFonts w:asciiTheme="minorHAnsi" w:hAnsiTheme="minorHAnsi" w:cstheme="minorBidi"/>
              <w:noProof/>
              <w:kern w:val="2"/>
              <w:sz w:val="24"/>
              <w:szCs w:val="24"/>
              <w:lang w:val="en-GB" w:eastAsia="en-GB"/>
              <w14:ligatures w14:val="standardContextual"/>
            </w:rPr>
          </w:pPr>
          <w:hyperlink w:history="1" w:anchor="_Toc179803265">
            <w:r w:rsidRPr="005C5F37">
              <w:rPr>
                <w:rStyle w:val="Hyperlink"/>
                <w:noProof/>
              </w:rPr>
              <w:t>5</w:t>
            </w:r>
            <w:r>
              <w:rPr>
                <w:rFonts w:asciiTheme="minorHAnsi" w:hAnsiTheme="minorHAnsi" w:cstheme="minorBidi"/>
                <w:noProof/>
                <w:kern w:val="2"/>
                <w:sz w:val="24"/>
                <w:szCs w:val="24"/>
                <w:lang w:val="en-GB" w:eastAsia="en-GB"/>
                <w14:ligatures w14:val="standardContextual"/>
              </w:rPr>
              <w:tab/>
            </w:r>
            <w:r w:rsidRPr="005C5F37">
              <w:rPr>
                <w:rStyle w:val="Hyperlink"/>
                <w:noProof/>
              </w:rPr>
              <w:t>Disciplinary variation</w:t>
            </w:r>
            <w:r>
              <w:rPr>
                <w:noProof/>
                <w:webHidden/>
              </w:rPr>
              <w:tab/>
            </w:r>
            <w:r>
              <w:rPr>
                <w:noProof/>
                <w:webHidden/>
              </w:rPr>
              <w:fldChar w:fldCharType="begin"/>
            </w:r>
            <w:r>
              <w:rPr>
                <w:noProof/>
                <w:webHidden/>
              </w:rPr>
              <w:instrText xml:space="preserve"> PAGEREF _Toc179803265 \h </w:instrText>
            </w:r>
            <w:r>
              <w:rPr>
                <w:noProof/>
                <w:webHidden/>
              </w:rPr>
            </w:r>
            <w:r>
              <w:rPr>
                <w:noProof/>
                <w:webHidden/>
              </w:rPr>
              <w:fldChar w:fldCharType="separate"/>
            </w:r>
            <w:r>
              <w:rPr>
                <w:noProof/>
                <w:webHidden/>
              </w:rPr>
              <w:t>4</w:t>
            </w:r>
            <w:r>
              <w:rPr>
                <w:noProof/>
                <w:webHidden/>
              </w:rPr>
              <w:fldChar w:fldCharType="end"/>
            </w:r>
          </w:hyperlink>
        </w:p>
        <w:p w:rsidR="00F9355E" w:rsidRDefault="00F9355E" w14:paraId="170E964A" w14:textId="052E424C">
          <w:pPr>
            <w:pStyle w:val="TOC1"/>
            <w:rPr>
              <w:rFonts w:asciiTheme="minorHAnsi" w:hAnsiTheme="minorHAnsi" w:cstheme="minorBidi"/>
              <w:noProof/>
              <w:kern w:val="2"/>
              <w:sz w:val="24"/>
              <w:szCs w:val="24"/>
              <w:lang w:val="en-GB" w:eastAsia="en-GB"/>
              <w14:ligatures w14:val="standardContextual"/>
            </w:rPr>
          </w:pPr>
          <w:hyperlink w:history="1" w:anchor="_Toc179803266">
            <w:r w:rsidRPr="005C5F37">
              <w:rPr>
                <w:rStyle w:val="Hyperlink"/>
                <w:noProof/>
              </w:rPr>
              <w:t>6</w:t>
            </w:r>
            <w:r>
              <w:rPr>
                <w:rFonts w:asciiTheme="minorHAnsi" w:hAnsiTheme="minorHAnsi" w:cstheme="minorBidi"/>
                <w:noProof/>
                <w:kern w:val="2"/>
                <w:sz w:val="24"/>
                <w:szCs w:val="24"/>
                <w:lang w:val="en-GB" w:eastAsia="en-GB"/>
                <w14:ligatures w14:val="standardContextual"/>
              </w:rPr>
              <w:tab/>
            </w:r>
            <w:r w:rsidRPr="005C5F37">
              <w:rPr>
                <w:rStyle w:val="Hyperlink"/>
                <w:noProof/>
              </w:rPr>
              <w:t>Version control</w:t>
            </w:r>
            <w:r>
              <w:rPr>
                <w:noProof/>
                <w:webHidden/>
              </w:rPr>
              <w:tab/>
            </w:r>
            <w:r>
              <w:rPr>
                <w:noProof/>
                <w:webHidden/>
              </w:rPr>
              <w:fldChar w:fldCharType="begin"/>
            </w:r>
            <w:r>
              <w:rPr>
                <w:noProof/>
                <w:webHidden/>
              </w:rPr>
              <w:instrText xml:space="preserve"> PAGEREF _Toc179803266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25A8568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8B792B" w14:paraId="1027AF12" w14:textId="73417551">
          <w:pPr>
            <w:pStyle w:val="PolicyTitle"/>
            <w:spacing w:after="360" w:line="240" w:lineRule="auto"/>
            <w:rPr>
              <w:sz w:val="36"/>
              <w:szCs w:val="36"/>
            </w:rPr>
          </w:pPr>
          <w:r>
            <w:t>Academic Referencing</w:t>
          </w:r>
        </w:p>
      </w:sdtContent>
    </w:sdt>
    <w:p w:rsidR="00BC5840" w:rsidP="00BC5840" w:rsidRDefault="005A6998" w14:paraId="1470D4D5" w14:textId="37903655">
      <w:pPr>
        <w:pStyle w:val="Heading1"/>
      </w:pPr>
      <w:bookmarkStart w:name="_Toc179803260" w:id="0"/>
      <w:r w:rsidRPr="00780B17">
        <w:t>Introduction</w:t>
      </w:r>
      <w:bookmarkEnd w:id="0"/>
    </w:p>
    <w:p w:rsidRPr="008B792B" w:rsidR="008B792B" w:rsidP="008B792B" w:rsidRDefault="008B792B" w14:paraId="702A721A" w14:textId="77777777">
      <w:pPr>
        <w:pStyle w:val="MainBullet"/>
        <w:rPr>
          <w:lang w:val="en-GB" w:eastAsia="zh-CN"/>
        </w:rPr>
      </w:pPr>
      <w:r w:rsidRPr="008B792B">
        <w:rPr>
          <w:lang w:val="en-GB" w:eastAsia="zh-CN"/>
        </w:rPr>
        <w:t>This policy sets out the University’s approach to academic referencing and outlines the responsibilities of academic units, faculties and the University Library.</w:t>
      </w:r>
    </w:p>
    <w:p w:rsidRPr="008B792B" w:rsidR="008B792B" w:rsidP="008B792B" w:rsidRDefault="008B792B" w14:paraId="2768404A" w14:textId="4343BC3B">
      <w:pPr>
        <w:pStyle w:val="MainBullet"/>
        <w:rPr>
          <w:lang w:val="en-GB" w:eastAsia="zh-CN"/>
        </w:rPr>
      </w:pPr>
      <w:r w:rsidRPr="008B792B">
        <w:rPr>
          <w:lang w:val="en-GB" w:eastAsia="zh-CN"/>
        </w:rPr>
        <w:t xml:space="preserve">The Education Committee is </w:t>
      </w:r>
      <w:r>
        <w:rPr>
          <w:lang w:val="en-GB" w:eastAsia="zh-CN"/>
        </w:rPr>
        <w:t xml:space="preserve">the </w:t>
      </w:r>
      <w:r w:rsidRPr="008B792B">
        <w:rPr>
          <w:lang w:val="en-GB" w:eastAsia="zh-CN"/>
        </w:rPr>
        <w:t xml:space="preserve">final arbiter of the application and interpretation of this policy. </w:t>
      </w:r>
    </w:p>
    <w:p w:rsidRPr="008B792B" w:rsidR="008B792B" w:rsidP="008B792B" w:rsidRDefault="008B792B" w14:paraId="65771FA3" w14:textId="77777777">
      <w:pPr>
        <w:pStyle w:val="Heading2"/>
        <w:numPr>
          <w:ilvl w:val="0"/>
          <w:numId w:val="0"/>
        </w:numPr>
        <w:ind w:left="680"/>
      </w:pPr>
      <w:bookmarkStart w:name="_Toc179803261" w:id="1"/>
      <w:r w:rsidRPr="008B792B">
        <w:t>Scope</w:t>
      </w:r>
      <w:bookmarkEnd w:id="1"/>
    </w:p>
    <w:p w:rsidRPr="008B792B" w:rsidR="008B792B" w:rsidP="008B792B" w:rsidRDefault="008B792B" w14:paraId="2605985E" w14:textId="77777777">
      <w:pPr>
        <w:pStyle w:val="MainBullet"/>
        <w:rPr>
          <w:lang w:val="en-GB" w:eastAsia="zh-CN"/>
        </w:rPr>
      </w:pPr>
      <w:r w:rsidRPr="008B792B">
        <w:rPr>
          <w:lang w:val="en-GB" w:eastAsia="zh-CN"/>
        </w:rPr>
        <w:t>This policy governs the approach to be taken to academic referencing and the information provided to students regarding academic referencing.</w:t>
      </w:r>
    </w:p>
    <w:p w:rsidRPr="008B792B" w:rsidR="00AD62EF" w:rsidP="008B792B" w:rsidRDefault="008B792B" w14:paraId="73A8E4C2" w14:textId="5FC28A01">
      <w:pPr>
        <w:pStyle w:val="MainBullet"/>
        <w:rPr>
          <w:lang w:val="en-GB" w:eastAsia="zh-CN"/>
        </w:rPr>
      </w:pPr>
      <w:r w:rsidRPr="008B792B">
        <w:rPr>
          <w:lang w:val="en-GB" w:eastAsia="zh-CN"/>
        </w:rPr>
        <w:t>This policy does not apply to collaborative provision.</w:t>
      </w:r>
    </w:p>
    <w:p w:rsidR="008B792B" w:rsidP="008B792B" w:rsidRDefault="008B792B" w14:paraId="17F2E331" w14:textId="77777777">
      <w:pPr>
        <w:pStyle w:val="Heading1"/>
      </w:pPr>
      <w:bookmarkStart w:name="_Toc179803262" w:id="2"/>
      <w:r w:rsidRPr="008B792B">
        <w:t>Principles</w:t>
      </w:r>
      <w:bookmarkEnd w:id="2"/>
    </w:p>
    <w:p w:rsidRPr="008B792B" w:rsidR="008B792B" w:rsidP="008B792B" w:rsidRDefault="008B792B" w14:paraId="41DFA96E" w14:textId="77777777">
      <w:pPr>
        <w:pStyle w:val="MainBullet"/>
        <w:rPr>
          <w:lang w:val="en-GB" w:eastAsia="zh-CN"/>
        </w:rPr>
      </w:pPr>
      <w:r w:rsidRPr="008B792B">
        <w:rPr>
          <w:lang w:val="en-GB" w:eastAsia="zh-CN"/>
        </w:rPr>
        <w:t xml:space="preserve">The University is committed to supporting all students in achieving their potential and considers that the provision of accurate and consistent information to support students in their studies is central to the achievement of this aim. </w:t>
      </w:r>
    </w:p>
    <w:p w:rsidRPr="008B792B" w:rsidR="008B792B" w:rsidP="008B792B" w:rsidRDefault="008B792B" w14:paraId="59332FFB" w14:textId="031ED3FA">
      <w:pPr>
        <w:pStyle w:val="MainBullet"/>
        <w:rPr>
          <w:lang w:val="en-GB" w:eastAsia="zh-CN"/>
        </w:rPr>
      </w:pPr>
      <w:r w:rsidRPr="008B792B">
        <w:rPr>
          <w:lang w:val="en-GB" w:eastAsia="zh-CN"/>
        </w:rPr>
        <w:t xml:space="preserve">Our approach to academic referencing is driven by a commitment to good academic practice and to academic integrity.  Our educational focus is on the importance of referencing in providing consistent, transparent and verifiable evidence of students’ engagement with sources, rather than on the technicalities of </w:t>
      </w:r>
      <w:proofErr w:type="gramStart"/>
      <w:r w:rsidRPr="008B792B">
        <w:rPr>
          <w:lang w:val="en-GB" w:eastAsia="zh-CN"/>
        </w:rPr>
        <w:t>particular referencing</w:t>
      </w:r>
      <w:proofErr w:type="gramEnd"/>
      <w:r w:rsidRPr="008B792B">
        <w:rPr>
          <w:lang w:val="en-GB" w:eastAsia="zh-CN"/>
        </w:rPr>
        <w:t xml:space="preserve"> systems.</w:t>
      </w:r>
    </w:p>
    <w:p w:rsidR="008B792B" w:rsidP="008B792B" w:rsidRDefault="008B792B" w14:paraId="4EC40475" w14:textId="77777777">
      <w:pPr>
        <w:pStyle w:val="Heading1"/>
      </w:pPr>
      <w:bookmarkStart w:name="_Toc179803263" w:id="3"/>
      <w:r w:rsidRPr="008B792B">
        <w:t>Requirements</w:t>
      </w:r>
      <w:bookmarkEnd w:id="3"/>
    </w:p>
    <w:p w:rsidRPr="008B792B" w:rsidR="008B792B" w:rsidP="008B792B" w:rsidRDefault="008B792B" w14:paraId="5C3EBA83" w14:textId="77777777">
      <w:pPr>
        <w:pStyle w:val="MainBullet"/>
        <w:rPr>
          <w:lang w:val="en-GB" w:eastAsia="zh-CN"/>
        </w:rPr>
      </w:pPr>
      <w:r w:rsidRPr="008B792B">
        <w:rPr>
          <w:lang w:val="en-GB" w:eastAsia="zh-CN"/>
        </w:rPr>
        <w:t xml:space="preserve">Other than in cases of necessary disciplinary variation (see para. 5.1 – 5.2) students </w:t>
      </w:r>
      <w:r w:rsidRPr="00164769">
        <w:rPr>
          <w:b/>
          <w:bCs w:val="0"/>
          <w:lang w:val="en-GB" w:eastAsia="zh-CN"/>
        </w:rPr>
        <w:t>must</w:t>
      </w:r>
      <w:r w:rsidRPr="008B792B">
        <w:rPr>
          <w:lang w:val="en-GB" w:eastAsia="zh-CN"/>
        </w:rPr>
        <w:t xml:space="preserve"> be advised to use one of two systems: </w:t>
      </w:r>
    </w:p>
    <w:p w:rsidRPr="008B792B" w:rsidR="008B792B" w:rsidP="008B792B" w:rsidRDefault="008B792B" w14:paraId="6D861DC3" w14:textId="104CA5CB">
      <w:pPr>
        <w:pStyle w:val="MainBullet"/>
        <w:numPr>
          <w:ilvl w:val="2"/>
          <w:numId w:val="27"/>
        </w:numPr>
        <w:rPr>
          <w:lang w:val="en-GB" w:eastAsia="zh-CN"/>
        </w:rPr>
      </w:pPr>
      <w:r w:rsidRPr="008B792B">
        <w:rPr>
          <w:lang w:val="en-GB" w:eastAsia="zh-CN"/>
        </w:rPr>
        <w:t>An in-text author-date system (</w:t>
      </w:r>
      <w:r>
        <w:rPr>
          <w:lang w:val="en-GB" w:eastAsia="zh-CN"/>
        </w:rPr>
        <w:t>usually Hull</w:t>
      </w:r>
      <w:r w:rsidRPr="008B792B">
        <w:rPr>
          <w:lang w:val="en-GB" w:eastAsia="zh-CN"/>
        </w:rPr>
        <w:t xml:space="preserve"> Harvard, but APA is also allowed)</w:t>
      </w:r>
    </w:p>
    <w:p w:rsidR="008B792B" w:rsidP="008B792B" w:rsidRDefault="008B792B" w14:paraId="292FE6BA" w14:textId="42F6C767">
      <w:pPr>
        <w:pStyle w:val="MainBullet"/>
        <w:numPr>
          <w:ilvl w:val="2"/>
          <w:numId w:val="27"/>
        </w:numPr>
        <w:rPr>
          <w:lang w:val="en-GB" w:eastAsia="zh-CN"/>
        </w:rPr>
      </w:pPr>
      <w:r w:rsidRPr="008B792B">
        <w:rPr>
          <w:lang w:val="en-GB" w:eastAsia="zh-CN"/>
        </w:rPr>
        <w:t>An author-title (short title) footnote system</w:t>
      </w:r>
      <w:r>
        <w:rPr>
          <w:lang w:val="en-GB" w:eastAsia="zh-CN"/>
        </w:rPr>
        <w:t xml:space="preserve"> </w:t>
      </w:r>
      <w:r w:rsidRPr="008B792B">
        <w:rPr>
          <w:lang w:val="en-GB" w:eastAsia="zh-CN"/>
        </w:rPr>
        <w:t>(usually Hull Footnotes, but OSCOLA is also allowed)</w:t>
      </w:r>
      <w:r>
        <w:rPr>
          <w:lang w:val="en-GB" w:eastAsia="zh-CN"/>
        </w:rPr>
        <w:t>.</w:t>
      </w:r>
    </w:p>
    <w:p w:rsidRPr="008B792B" w:rsidR="008B792B" w:rsidP="008B792B" w:rsidRDefault="008B792B" w14:paraId="3CEFBAF4" w14:textId="6EAE20DE">
      <w:pPr>
        <w:pStyle w:val="MainBullet"/>
      </w:pPr>
      <w:r w:rsidRPr="008B792B">
        <w:t xml:space="preserve">The University Library will produce guidance on the use of referencing systems and, other than in exceptional circumstances, academic units </w:t>
      </w:r>
      <w:r w:rsidRPr="00164769">
        <w:rPr>
          <w:b/>
          <w:bCs w:val="0"/>
        </w:rPr>
        <w:t>must</w:t>
      </w:r>
      <w:r w:rsidRPr="008B792B">
        <w:t xml:space="preserve"> not issue alternative guidance. </w:t>
      </w:r>
    </w:p>
    <w:p w:rsidRPr="008B792B" w:rsidR="008B792B" w:rsidP="008B792B" w:rsidRDefault="008B792B" w14:paraId="53E3EDF1" w14:textId="77777777">
      <w:pPr>
        <w:pStyle w:val="MainBullet"/>
        <w:rPr>
          <w:lang w:val="en-GB" w:eastAsia="zh-CN"/>
        </w:rPr>
      </w:pPr>
      <w:r w:rsidRPr="008B792B">
        <w:rPr>
          <w:lang w:val="en-GB" w:eastAsia="zh-CN"/>
        </w:rPr>
        <w:t xml:space="preserve">Students </w:t>
      </w:r>
      <w:r w:rsidRPr="00164769">
        <w:rPr>
          <w:b/>
          <w:bCs w:val="0"/>
          <w:lang w:val="en-GB" w:eastAsia="zh-CN"/>
        </w:rPr>
        <w:t>should</w:t>
      </w:r>
      <w:r w:rsidRPr="008B792B">
        <w:rPr>
          <w:lang w:val="en-GB" w:eastAsia="zh-CN"/>
        </w:rPr>
        <w:t xml:space="preserve"> not be penalised for technical errors in the use of an approved referencing system during the period in which they are eligible for a caution under the Regulations governing Academic Misconduct if the sources referenced are verifiable.</w:t>
      </w:r>
    </w:p>
    <w:p w:rsidRPr="008B792B" w:rsidR="008B792B" w:rsidP="008B792B" w:rsidRDefault="008B792B" w14:paraId="0633D57C" w14:textId="2DD2AE7C">
      <w:pPr>
        <w:pStyle w:val="MainBullet"/>
        <w:rPr>
          <w:lang w:val="en-GB" w:eastAsia="zh-CN"/>
        </w:rPr>
      </w:pPr>
      <w:r w:rsidRPr="008B792B">
        <w:rPr>
          <w:lang w:val="en-GB" w:eastAsia="zh-CN"/>
        </w:rPr>
        <w:t>Students studying modules from different disciplines are permitted to use the designated system for the programme on which they are registered.</w:t>
      </w:r>
    </w:p>
    <w:p w:rsidR="008B792B" w:rsidP="008B792B" w:rsidRDefault="008B792B" w14:paraId="15CAAB4A" w14:textId="77777777">
      <w:pPr>
        <w:pStyle w:val="Heading1"/>
      </w:pPr>
      <w:r w:rsidRPr="008B792B">
        <w:t xml:space="preserve"> </w:t>
      </w:r>
      <w:bookmarkStart w:name="_Toc179803264" w:id="4"/>
      <w:r w:rsidRPr="008B792B">
        <w:t>Responsibilities</w:t>
      </w:r>
      <w:bookmarkEnd w:id="4"/>
    </w:p>
    <w:p w:rsidRPr="008B792B" w:rsidR="008B792B" w:rsidP="008B792B" w:rsidRDefault="008B792B" w14:paraId="7B952D11" w14:textId="77777777">
      <w:pPr>
        <w:pStyle w:val="MainBullet"/>
        <w:rPr>
          <w:lang w:val="en-GB" w:eastAsia="zh-CN"/>
        </w:rPr>
      </w:pPr>
      <w:r w:rsidRPr="008B792B">
        <w:rPr>
          <w:lang w:val="en-GB" w:eastAsia="zh-CN"/>
        </w:rPr>
        <w:t>Heads of Academic Units are responsible for ensuring that one of the two designated referencing systems is adopted across their area.</w:t>
      </w:r>
    </w:p>
    <w:p w:rsidRPr="008B792B" w:rsidR="008B792B" w:rsidP="008B792B" w:rsidRDefault="008B792B" w14:paraId="24EED87E" w14:textId="77777777">
      <w:pPr>
        <w:pStyle w:val="MainBullet"/>
        <w:rPr>
          <w:lang w:val="en-GB" w:eastAsia="zh-CN"/>
        </w:rPr>
      </w:pPr>
      <w:r w:rsidRPr="008B792B">
        <w:rPr>
          <w:lang w:val="en-GB" w:eastAsia="zh-CN"/>
        </w:rPr>
        <w:t xml:space="preserve">Heads of Academic Units are responsible for seeking exemption from the use of the designated referencing system for modules or programmes in their area. In such cases, Heads of Academic Units are responsible for working with the University Library to </w:t>
      </w:r>
      <w:r w:rsidRPr="008B792B">
        <w:rPr>
          <w:lang w:val="en-GB" w:eastAsia="zh-CN"/>
        </w:rPr>
        <w:lastRenderedPageBreak/>
        <w:t xml:space="preserve">provide a definitive guidance on the alternative approach and </w:t>
      </w:r>
      <w:r w:rsidRPr="00164769">
        <w:rPr>
          <w:b/>
          <w:bCs w:val="0"/>
          <w:lang w:val="en-GB" w:eastAsia="zh-CN"/>
        </w:rPr>
        <w:t xml:space="preserve">must </w:t>
      </w:r>
      <w:r w:rsidRPr="008B792B">
        <w:rPr>
          <w:lang w:val="en-GB" w:eastAsia="zh-CN"/>
        </w:rPr>
        <w:t>ensure that information provided to students clearly indicates the modules to which the alternative systems apply.</w:t>
      </w:r>
    </w:p>
    <w:p w:rsidRPr="008B792B" w:rsidR="008B792B" w:rsidP="008B792B" w:rsidRDefault="008B792B" w14:paraId="628F1A6B" w14:textId="77777777">
      <w:pPr>
        <w:pStyle w:val="MainBullet"/>
        <w:rPr>
          <w:lang w:val="en-GB" w:eastAsia="zh-CN"/>
        </w:rPr>
      </w:pPr>
      <w:r w:rsidRPr="008B792B">
        <w:rPr>
          <w:lang w:val="en-GB" w:eastAsia="zh-CN"/>
        </w:rPr>
        <w:t xml:space="preserve">Chairs of Faculty Education and Student Experience Committees </w:t>
      </w:r>
      <w:r w:rsidRPr="00164769">
        <w:rPr>
          <w:b/>
          <w:bCs w:val="0"/>
          <w:lang w:val="en-GB" w:eastAsia="zh-CN"/>
        </w:rPr>
        <w:t>must</w:t>
      </w:r>
      <w:r w:rsidRPr="008B792B">
        <w:rPr>
          <w:lang w:val="en-GB" w:eastAsia="zh-CN"/>
        </w:rPr>
        <w:t xml:space="preserve"> consider the benefits of adopting one of the two designated referencing systems at faculty level.</w:t>
      </w:r>
    </w:p>
    <w:p w:rsidRPr="008B792B" w:rsidR="008B792B" w:rsidP="008B792B" w:rsidRDefault="008B792B" w14:paraId="6BE71A3D" w14:textId="126A5515">
      <w:pPr>
        <w:pStyle w:val="MainBullet"/>
        <w:rPr>
          <w:lang w:val="en-GB" w:eastAsia="zh-CN"/>
        </w:rPr>
      </w:pPr>
      <w:r w:rsidRPr="008B792B">
        <w:rPr>
          <w:lang w:val="en-GB" w:eastAsia="zh-CN"/>
        </w:rPr>
        <w:t>Programme Directors for combined programmes are responsible, in consultation with the relevant Heads of Academic Units, for ensuring that one of the two designated referencing systems is adopted across the programme and/or that necessary exemptions have been approved.</w:t>
      </w:r>
    </w:p>
    <w:p w:rsidR="008B792B" w:rsidP="008B792B" w:rsidRDefault="008B792B" w14:paraId="4E37BAE3" w14:textId="77777777">
      <w:pPr>
        <w:pStyle w:val="Heading1"/>
      </w:pPr>
      <w:bookmarkStart w:name="_Toc179803265" w:id="5"/>
      <w:r w:rsidRPr="008B792B">
        <w:t>Disciplinary variation</w:t>
      </w:r>
      <w:bookmarkEnd w:id="5"/>
    </w:p>
    <w:p w:rsidRPr="008B792B" w:rsidR="008B792B" w:rsidP="008B792B" w:rsidRDefault="008B792B" w14:paraId="3599CFB9" w14:textId="77777777">
      <w:pPr>
        <w:pStyle w:val="MainBullet"/>
        <w:rPr>
          <w:lang w:val="en-GB" w:eastAsia="zh-CN"/>
        </w:rPr>
      </w:pPr>
      <w:r w:rsidRPr="008B792B">
        <w:rPr>
          <w:lang w:val="en-GB" w:eastAsia="zh-CN"/>
        </w:rPr>
        <w:t xml:space="preserve">Whilst consistency of approach is deemed important it is acknowledged that in some subjects, disciplinary requirements necessitate the use of alternative referencing systems (for example legal referencing). </w:t>
      </w:r>
    </w:p>
    <w:p w:rsidRPr="008B792B" w:rsidR="008B792B" w:rsidP="008B792B" w:rsidRDefault="008B792B" w14:paraId="68C2AFCA" w14:textId="099A1A88">
      <w:pPr>
        <w:pStyle w:val="MainBullet"/>
        <w:rPr>
          <w:lang w:val="en-GB" w:eastAsia="zh-CN"/>
        </w:rPr>
      </w:pPr>
      <w:r w:rsidRPr="008B792B">
        <w:rPr>
          <w:lang w:val="en-GB" w:eastAsia="zh-CN"/>
        </w:rPr>
        <w:t xml:space="preserve">A request to use an alternative referencing system </w:t>
      </w:r>
      <w:r w:rsidRPr="00164769">
        <w:rPr>
          <w:b/>
          <w:bCs w:val="0"/>
          <w:lang w:val="en-GB" w:eastAsia="zh-CN"/>
        </w:rPr>
        <w:t xml:space="preserve">must </w:t>
      </w:r>
      <w:r w:rsidRPr="008B792B">
        <w:rPr>
          <w:lang w:val="en-GB" w:eastAsia="zh-CN"/>
        </w:rPr>
        <w:t xml:space="preserve">be considered by the University’s </w:t>
      </w:r>
      <w:r>
        <w:rPr>
          <w:lang w:val="en-GB" w:eastAsia="zh-CN"/>
        </w:rPr>
        <w:t xml:space="preserve">Quality and Standards </w:t>
      </w:r>
      <w:r w:rsidRPr="008B792B">
        <w:rPr>
          <w:lang w:val="en-GB" w:eastAsia="zh-CN"/>
        </w:rPr>
        <w:t>Committee (</w:t>
      </w:r>
      <w:r>
        <w:rPr>
          <w:lang w:val="en-GB" w:eastAsia="zh-CN"/>
        </w:rPr>
        <w:t>QS</w:t>
      </w:r>
      <w:r w:rsidRPr="008B792B">
        <w:rPr>
          <w:lang w:val="en-GB" w:eastAsia="zh-CN"/>
        </w:rPr>
        <w:t xml:space="preserve">C) and </w:t>
      </w:r>
      <w:r w:rsidRPr="008B792B">
        <w:rPr>
          <w:b/>
          <w:bCs w:val="0"/>
          <w:lang w:val="en-GB" w:eastAsia="zh-CN"/>
        </w:rPr>
        <w:t>must</w:t>
      </w:r>
      <w:r w:rsidRPr="008B792B">
        <w:rPr>
          <w:lang w:val="en-GB" w:eastAsia="zh-CN"/>
        </w:rPr>
        <w:t xml:space="preserve"> clearly indicate to which programmes or modules the request applies. The request must be endorsed by the relevant Head of Academic Unit and be accompanied by evidence in support of the application, for example stated Professional, Statutory and Regulatory Body requirements.</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9803266" w:id="6"/>
      <w:r w:rsidRPr="00DC1437">
        <w:lastRenderedPageBreak/>
        <w:t xml:space="preserve">Version </w:t>
      </w:r>
      <w:r w:rsidR="00085124">
        <w:t>c</w:t>
      </w:r>
      <w:r w:rsidRPr="00DC1437">
        <w:t>ontrol</w:t>
      </w:r>
      <w:bookmarkEnd w:id="6"/>
    </w:p>
    <w:tbl>
      <w:tblPr>
        <w:tblStyle w:val="TableGrid"/>
        <w:tblW w:w="4950" w:type="pct"/>
        <w:tblLook w:val="04A0" w:firstRow="1" w:lastRow="0" w:firstColumn="1" w:lastColumn="0" w:noHBand="0" w:noVBand="1"/>
      </w:tblPr>
      <w:tblGrid>
        <w:gridCol w:w="1032"/>
        <w:gridCol w:w="3253"/>
        <w:gridCol w:w="1774"/>
        <w:gridCol w:w="2867"/>
      </w:tblGrid>
      <w:tr w:rsidRPr="002E6BBA" w:rsidR="008F2463" w:rsidTr="00CD503A" w14:paraId="45DEB1E7" w14:textId="3E350BF8">
        <w:tc>
          <w:tcPr>
            <w:tcW w:w="578" w:type="pct"/>
          </w:tcPr>
          <w:p w:rsidRPr="002E6BBA" w:rsidR="008F2463" w:rsidP="008F2463" w:rsidRDefault="008F2463" w14:paraId="11A6EA5B" w14:textId="251ABB18">
            <w:pPr>
              <w:rPr>
                <w:rFonts w:cs="Arial"/>
                <w:b/>
                <w:bCs/>
              </w:rPr>
            </w:pPr>
            <w:r w:rsidRPr="002E6BBA">
              <w:rPr>
                <w:rFonts w:cs="Arial"/>
                <w:b/>
                <w:bCs/>
              </w:rPr>
              <w:t>Version</w:t>
            </w:r>
          </w:p>
        </w:tc>
        <w:tc>
          <w:tcPr>
            <w:tcW w:w="1822" w:type="pct"/>
          </w:tcPr>
          <w:p w:rsidRPr="002E6BBA" w:rsidR="008F2463" w:rsidP="008F2463" w:rsidRDefault="008F2463" w14:paraId="4B79674B" w14:textId="6C675955">
            <w:pPr>
              <w:rPr>
                <w:rFonts w:cs="Arial"/>
                <w:b/>
                <w:bCs/>
              </w:rPr>
            </w:pPr>
            <w:r w:rsidRPr="002E6BBA">
              <w:rPr>
                <w:rFonts w:cs="Arial"/>
                <w:b/>
                <w:bCs/>
              </w:rPr>
              <w:t>Author</w:t>
            </w:r>
          </w:p>
        </w:tc>
        <w:tc>
          <w:tcPr>
            <w:tcW w:w="994" w:type="pct"/>
          </w:tcPr>
          <w:p w:rsidRPr="002E6BBA" w:rsidR="008F2463" w:rsidP="008F2463" w:rsidRDefault="008F2463" w14:paraId="0B7C97F8" w14:textId="31A7D01B">
            <w:pPr>
              <w:rPr>
                <w:rFonts w:cs="Arial"/>
                <w:b/>
                <w:bCs/>
              </w:rPr>
            </w:pPr>
            <w:r w:rsidRPr="002E6BBA">
              <w:rPr>
                <w:rFonts w:cs="Arial"/>
                <w:b/>
                <w:bCs/>
              </w:rPr>
              <w:t>Date approved</w:t>
            </w:r>
          </w:p>
        </w:tc>
        <w:tc>
          <w:tcPr>
            <w:tcW w:w="1606"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CD503A" w14:paraId="04C0DC0E" w14:textId="1DAF46B7">
        <w:tc>
          <w:tcPr>
            <w:tcW w:w="578" w:type="pct"/>
          </w:tcPr>
          <w:p w:rsidRPr="002E6BBA" w:rsidR="008F2463" w:rsidP="008F2463" w:rsidRDefault="00CD503A" w14:paraId="0B5BB639" w14:textId="3533D641">
            <w:pPr>
              <w:rPr>
                <w:rFonts w:cs="Arial"/>
              </w:rPr>
            </w:pPr>
            <w:r>
              <w:rPr>
                <w:rFonts w:cs="Arial"/>
              </w:rPr>
              <w:t>1 03</w:t>
            </w:r>
          </w:p>
        </w:tc>
        <w:tc>
          <w:tcPr>
            <w:tcW w:w="1822" w:type="pct"/>
          </w:tcPr>
          <w:p w:rsidRPr="002E6BBA" w:rsidR="008F2463" w:rsidP="008F2463" w:rsidRDefault="00CD503A" w14:paraId="586A713D" w14:textId="0F995E85">
            <w:pPr>
              <w:rPr>
                <w:rFonts w:cs="Arial"/>
              </w:rPr>
            </w:pPr>
            <w:r>
              <w:rPr>
                <w:rFonts w:cs="Arial"/>
              </w:rPr>
              <w:t>Library Skills Team</w:t>
            </w:r>
          </w:p>
        </w:tc>
        <w:tc>
          <w:tcPr>
            <w:tcW w:w="994" w:type="pct"/>
          </w:tcPr>
          <w:p w:rsidRPr="002E6BBA" w:rsidR="008F2463" w:rsidP="008F2463" w:rsidRDefault="00CD503A" w14:paraId="06870469" w14:textId="3715A70F">
            <w:pPr>
              <w:rPr>
                <w:rFonts w:cs="Arial"/>
              </w:rPr>
            </w:pPr>
            <w:r>
              <w:rPr>
                <w:rFonts w:cs="Arial"/>
              </w:rPr>
              <w:t>Oct 2024, ESEC</w:t>
            </w:r>
          </w:p>
        </w:tc>
        <w:tc>
          <w:tcPr>
            <w:tcW w:w="1606" w:type="pct"/>
          </w:tcPr>
          <w:p w:rsidRPr="002E6BBA" w:rsidR="008F2463" w:rsidP="008F2463" w:rsidRDefault="008B792B" w14:paraId="6838A029" w14:textId="7CA65114">
            <w:pPr>
              <w:rPr>
                <w:rFonts w:cs="Arial"/>
              </w:rPr>
            </w:pPr>
            <w:r>
              <w:rPr>
                <w:rFonts w:cs="Arial"/>
              </w:rPr>
              <w:t xml:space="preserve">Minor amendments to para </w:t>
            </w:r>
            <w:r w:rsidR="00CD503A">
              <w:rPr>
                <w:rFonts w:cs="Arial"/>
              </w:rPr>
              <w:t xml:space="preserve">3.1 </w:t>
            </w:r>
            <w:r>
              <w:rPr>
                <w:rFonts w:cs="Arial"/>
              </w:rPr>
              <w:t xml:space="preserve">following a </w:t>
            </w:r>
            <w:r w:rsidR="00CD503A">
              <w:rPr>
                <w:rFonts w:cs="Arial"/>
              </w:rPr>
              <w:t xml:space="preserve">Library </w:t>
            </w:r>
            <w:r>
              <w:rPr>
                <w:rFonts w:cs="Arial"/>
              </w:rPr>
              <w:t xml:space="preserve">review of </w:t>
            </w:r>
            <w:proofErr w:type="spellStart"/>
            <w:r>
              <w:rPr>
                <w:rFonts w:cs="Arial"/>
              </w:rPr>
              <w:t>Uo</w:t>
            </w:r>
            <w:r w:rsidR="00CD503A">
              <w:rPr>
                <w:rFonts w:cs="Arial"/>
              </w:rPr>
              <w:t>H</w:t>
            </w:r>
            <w:proofErr w:type="spellEnd"/>
            <w:r>
              <w:rPr>
                <w:rFonts w:cs="Arial"/>
              </w:rPr>
              <w:t xml:space="preserve"> referencing styles.</w:t>
            </w:r>
          </w:p>
        </w:tc>
      </w:tr>
      <w:tr w:rsidRPr="002E6BBA" w:rsidR="008F2463" w:rsidTr="00CD503A" w14:paraId="2B4E243D" w14:textId="5F65423F">
        <w:tc>
          <w:tcPr>
            <w:tcW w:w="578" w:type="pct"/>
          </w:tcPr>
          <w:p w:rsidRPr="002E6BBA" w:rsidR="008F2463" w:rsidP="008F2463" w:rsidRDefault="008B792B" w14:paraId="75C6C97E" w14:textId="56E698BE">
            <w:pPr>
              <w:rPr>
                <w:rFonts w:cs="Arial"/>
              </w:rPr>
            </w:pPr>
            <w:r>
              <w:rPr>
                <w:rFonts w:cs="Arial"/>
              </w:rPr>
              <w:t>1 02</w:t>
            </w:r>
          </w:p>
        </w:tc>
        <w:tc>
          <w:tcPr>
            <w:tcW w:w="1822" w:type="pct"/>
          </w:tcPr>
          <w:p w:rsidRPr="002E6BBA" w:rsidR="008F2463" w:rsidP="008F2463" w:rsidRDefault="008F2463" w14:paraId="662CE0C1" w14:textId="77777777">
            <w:pPr>
              <w:rPr>
                <w:rFonts w:cs="Arial"/>
              </w:rPr>
            </w:pPr>
          </w:p>
        </w:tc>
        <w:tc>
          <w:tcPr>
            <w:tcW w:w="994" w:type="pct"/>
          </w:tcPr>
          <w:p w:rsidRPr="002E6BBA" w:rsidR="008F2463" w:rsidP="008F2463" w:rsidRDefault="008B792B" w14:paraId="62B74139" w14:textId="6737BFEA">
            <w:pPr>
              <w:rPr>
                <w:rFonts w:cs="Arial"/>
              </w:rPr>
            </w:pPr>
            <w:r>
              <w:rPr>
                <w:rFonts w:cs="Arial"/>
              </w:rPr>
              <w:t>June 2017</w:t>
            </w:r>
          </w:p>
        </w:tc>
        <w:tc>
          <w:tcPr>
            <w:tcW w:w="1606" w:type="pct"/>
          </w:tcPr>
          <w:p w:rsidRPr="002E6BBA" w:rsidR="008F2463" w:rsidP="008F2463" w:rsidRDefault="008B792B" w14:paraId="4AAB66AB" w14:textId="4555A9F9">
            <w:pPr>
              <w:rPr>
                <w:rFonts w:cs="Arial"/>
              </w:rPr>
            </w:pPr>
            <w:r>
              <w:rPr>
                <w:rFonts w:cs="Arial"/>
              </w:rPr>
              <w:t>Transfer to new template.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5B883AF"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792B">
          <w:rPr>
            <w:color w:val="0E1647"/>
            <w:sz w:val="20"/>
            <w:szCs w:val="20"/>
          </w:rPr>
          <w:t>1 03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8B792B">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rPr>
          <w:sz w:val="18"/>
          <w:szCs w:val="18"/>
        </w:rPr>
      </w:sdtEndPr>
      <w:sdtContent>
        <w:r w:rsidR="008B792B">
          <w:rPr>
            <w:color w:val="0E1647"/>
            <w:sz w:val="20"/>
            <w:szCs w:val="20"/>
          </w:rPr>
          <w:t>22 October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4769"/>
    <w:rsid w:val="00165927"/>
    <w:rsid w:val="00182E6C"/>
    <w:rsid w:val="00186E2C"/>
    <w:rsid w:val="00191ACC"/>
    <w:rsid w:val="001A22C9"/>
    <w:rsid w:val="001A700C"/>
    <w:rsid w:val="001B4CC8"/>
    <w:rsid w:val="001C25B7"/>
    <w:rsid w:val="001D37E1"/>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3BB3"/>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B792B"/>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6F44"/>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0CCE"/>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503A"/>
    <w:rsid w:val="00CD7921"/>
    <w:rsid w:val="00CE07EB"/>
    <w:rsid w:val="00CE2B97"/>
    <w:rsid w:val="00CE6696"/>
    <w:rsid w:val="00CF1D9F"/>
    <w:rsid w:val="00D14CFB"/>
    <w:rsid w:val="00D21EA7"/>
    <w:rsid w:val="00D24747"/>
    <w:rsid w:val="00D32BB0"/>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9355E"/>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D37E1"/>
    <w:rsid w:val="00441CBD"/>
    <w:rsid w:val="0054449F"/>
    <w:rsid w:val="00544843"/>
    <w:rsid w:val="005C4CE9"/>
    <w:rsid w:val="00627A49"/>
    <w:rsid w:val="007F2846"/>
    <w:rsid w:val="00937783"/>
    <w:rsid w:val="009836DA"/>
    <w:rsid w:val="009F088A"/>
    <w:rsid w:val="00AB323C"/>
    <w:rsid w:val="00BC3326"/>
    <w:rsid w:val="00BF0CCE"/>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2024-10-22T00:00:00</PublishDate>
  <Abstract>Academic Referencing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6136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Academic Referencing v1 03 Oct 2024</dc:title>
  <dc:subject>
  </dc:subject>
  <dc:creator>Katie J Skilton</dc:creator>
  <cp:keywords>
  </cp:keywords>
  <dc:description>
  </dc:description>
  <cp:lastModifiedBy>lisa Tees</cp:lastModifiedBy>
  <cp:revision>30</cp:revision>
  <cp:lastPrinted>2018-01-15T16:18:00Z</cp:lastPrinted>
  <dcterms:created xsi:type="dcterms:W3CDTF">2024-03-15T12:22:00Z</dcterms:created>
  <dcterms:modified xsi:type="dcterms:W3CDTF">2024-10-24T14:58:31Z</dcterms:modified>
  <cp:contentStatus>1 03</cp:contentStatus>
</cp:coreProperties>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