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013F" w:rsidP="007D013F" w:rsidRDefault="007D013F" w14:paraId="05120332" w14:textId="65ECEE2D">
      <w:pPr>
        <w:jc w:val="center"/>
        <w:rPr>
          <w:b/>
          <w:sz w:val="28"/>
          <w:szCs w:val="28"/>
        </w:rPr>
      </w:pPr>
      <w:r>
        <w:rPr>
          <w:b/>
          <w:sz w:val="28"/>
          <w:szCs w:val="28"/>
        </w:rPr>
        <w:t>Degree Outcomes S</w:t>
      </w:r>
      <w:r w:rsidRPr="00BD4CF1">
        <w:rPr>
          <w:b/>
          <w:sz w:val="28"/>
          <w:szCs w:val="28"/>
        </w:rPr>
        <w:t>tatement</w:t>
      </w:r>
      <w:r>
        <w:rPr>
          <w:b/>
          <w:sz w:val="28"/>
          <w:szCs w:val="28"/>
        </w:rPr>
        <w:t xml:space="preserve"> </w:t>
      </w:r>
      <w:r w:rsidR="00CF7FAF">
        <w:rPr>
          <w:b/>
          <w:sz w:val="28"/>
          <w:szCs w:val="28"/>
        </w:rPr>
        <w:t>202</w:t>
      </w:r>
      <w:r w:rsidR="000E29D3">
        <w:rPr>
          <w:b/>
          <w:sz w:val="28"/>
          <w:szCs w:val="28"/>
        </w:rPr>
        <w:t>4</w:t>
      </w:r>
      <w:r w:rsidR="003462CC">
        <w:rPr>
          <w:b/>
          <w:sz w:val="28"/>
          <w:szCs w:val="28"/>
        </w:rPr>
        <w:t>-25</w:t>
      </w:r>
    </w:p>
    <w:p w:rsidR="007D013F" w:rsidP="007D013F" w:rsidRDefault="007D013F" w14:paraId="1F115515" w14:textId="77777777">
      <w:pPr>
        <w:rPr>
          <w:b/>
          <w:sz w:val="28"/>
          <w:szCs w:val="28"/>
        </w:rPr>
      </w:pPr>
    </w:p>
    <w:p w:rsidR="007D013F" w:rsidP="007D013F" w:rsidRDefault="007D013F" w14:paraId="76F9B7C7" w14:textId="77777777">
      <w:pPr>
        <w:rPr>
          <w:rFonts w:cstheme="minorHAnsi"/>
          <w:b/>
        </w:rPr>
      </w:pPr>
      <w:r w:rsidRPr="00C47405">
        <w:rPr>
          <w:rFonts w:cstheme="minorHAnsi"/>
          <w:b/>
        </w:rPr>
        <w:t xml:space="preserve">Institutional </w:t>
      </w:r>
      <w:r>
        <w:rPr>
          <w:rFonts w:cstheme="minorHAnsi"/>
          <w:b/>
        </w:rPr>
        <w:t>D</w:t>
      </w:r>
      <w:r w:rsidRPr="00C47405">
        <w:rPr>
          <w:rFonts w:cstheme="minorHAnsi"/>
          <w:b/>
        </w:rPr>
        <w:t xml:space="preserve">egree </w:t>
      </w:r>
      <w:r>
        <w:rPr>
          <w:rFonts w:cstheme="minorHAnsi"/>
          <w:b/>
        </w:rPr>
        <w:t>C</w:t>
      </w:r>
      <w:r w:rsidRPr="00C47405">
        <w:rPr>
          <w:rFonts w:cstheme="minorHAnsi"/>
          <w:b/>
        </w:rPr>
        <w:t xml:space="preserve">lassification </w:t>
      </w:r>
      <w:r>
        <w:rPr>
          <w:rFonts w:cstheme="minorHAnsi"/>
          <w:b/>
        </w:rPr>
        <w:t>P</w:t>
      </w:r>
      <w:r w:rsidRPr="00C47405">
        <w:rPr>
          <w:rFonts w:cstheme="minorHAnsi"/>
          <w:b/>
        </w:rPr>
        <w:t>rofile</w:t>
      </w:r>
    </w:p>
    <w:p w:rsidRPr="006A4F19" w:rsidR="007D013F" w:rsidP="007D013F" w:rsidRDefault="007D013F" w14:paraId="650C537D" w14:textId="77777777">
      <w:pPr>
        <w:rPr>
          <w:b/>
        </w:rPr>
      </w:pPr>
    </w:p>
    <w:p w:rsidRPr="003A4417" w:rsidR="007D013F" w:rsidP="007D013F" w:rsidRDefault="007D013F" w14:paraId="24EBC88A" w14:textId="77777777">
      <w:pPr>
        <w:jc w:val="both"/>
        <w:rPr>
          <w:rFonts w:cstheme="minorHAnsi"/>
        </w:rPr>
      </w:pPr>
      <w:r w:rsidRPr="003A4417">
        <w:rPr>
          <w:rFonts w:cstheme="minorHAnsi"/>
        </w:rPr>
        <w:t xml:space="preserve">The University of Hull </w:t>
      </w:r>
      <w:r>
        <w:rPr>
          <w:rFonts w:cstheme="minorHAnsi"/>
        </w:rPr>
        <w:t xml:space="preserve">will celebrate its centenary in 2027. It is a medium sized provider offering a comprehensive range of disciplines. It aims to provide a culture of innovation through the creation of distinct and market-attractive programmes attracting a regional, national and international intake. The University has regional impact and currently validates provision at </w:t>
      </w:r>
      <w:proofErr w:type="gramStart"/>
      <w:r>
        <w:rPr>
          <w:rFonts w:cstheme="minorHAnsi"/>
        </w:rPr>
        <w:t>a number of</w:t>
      </w:r>
      <w:proofErr w:type="gramEnd"/>
      <w:r>
        <w:rPr>
          <w:rFonts w:cstheme="minorHAnsi"/>
        </w:rPr>
        <w:t xml:space="preserve"> regional partners operating under combined sets of assessment regulations.</w:t>
      </w:r>
    </w:p>
    <w:p w:rsidR="007D013F" w:rsidP="007D013F" w:rsidRDefault="007D013F" w14:paraId="04791FB7" w14:textId="3B084BC4">
      <w:pPr>
        <w:spacing w:before="60" w:after="60"/>
        <w:rPr>
          <w:rFonts w:ascii="Calibri" w:hAnsi="Calibri" w:cs="Calibri"/>
        </w:rPr>
      </w:pPr>
      <w:r w:rsidRPr="003A4417">
        <w:rPr>
          <w:rFonts w:cstheme="minorHAnsi"/>
        </w:rPr>
        <w:t xml:space="preserve">At the University of Hull progression and achievement outcomes are considered at module and course level </w:t>
      </w:r>
      <w:r w:rsidR="000E29D3">
        <w:rPr>
          <w:rFonts w:cstheme="minorHAnsi"/>
        </w:rPr>
        <w:t xml:space="preserve">through continuous </w:t>
      </w:r>
      <w:r w:rsidRPr="003A4417">
        <w:rPr>
          <w:rFonts w:cstheme="minorHAnsi"/>
        </w:rPr>
        <w:t>monitoring and confirm</w:t>
      </w:r>
      <w:r>
        <w:rPr>
          <w:rFonts w:cstheme="minorHAnsi"/>
        </w:rPr>
        <w:t>s</w:t>
      </w:r>
      <w:r w:rsidRPr="003A4417">
        <w:rPr>
          <w:rFonts w:cstheme="minorHAnsi"/>
        </w:rPr>
        <w:t xml:space="preserve"> that students from all backgrounds and with different</w:t>
      </w:r>
      <w:r>
        <w:rPr>
          <w:rFonts w:cstheme="minorHAnsi"/>
        </w:rPr>
        <w:t xml:space="preserve"> </w:t>
      </w:r>
      <w:r w:rsidRPr="003A4417">
        <w:rPr>
          <w:rFonts w:cstheme="minorHAnsi"/>
        </w:rPr>
        <w:t xml:space="preserve">characteristics </w:t>
      </w:r>
      <w:proofErr w:type="gramStart"/>
      <w:r w:rsidRPr="003A4417">
        <w:rPr>
          <w:rFonts w:cstheme="minorHAnsi"/>
        </w:rPr>
        <w:t>are able to</w:t>
      </w:r>
      <w:proofErr w:type="gramEnd"/>
      <w:r w:rsidRPr="003A4417">
        <w:rPr>
          <w:rFonts w:cstheme="minorHAnsi"/>
        </w:rPr>
        <w:t xml:space="preserve"> succeed</w:t>
      </w:r>
      <w:r w:rsidR="007953F4">
        <w:rPr>
          <w:rFonts w:cstheme="minorHAnsi"/>
        </w:rPr>
        <w:t>.</w:t>
      </w:r>
    </w:p>
    <w:p w:rsidR="007D013F" w:rsidP="007D013F" w:rsidRDefault="007D013F" w14:paraId="35C27132" w14:textId="77777777">
      <w:pPr>
        <w:spacing w:before="60" w:after="60"/>
        <w:rPr>
          <w:rFonts w:ascii="Calibri" w:hAnsi="Calibri" w:cs="Calibri"/>
        </w:rPr>
      </w:pPr>
    </w:p>
    <w:p w:rsidRPr="003F7077" w:rsidR="007D013F" w:rsidP="007D013F" w:rsidRDefault="007D013F" w14:paraId="7F7D4A1A" w14:textId="077D410D">
      <w:pPr>
        <w:spacing w:before="60" w:after="60"/>
        <w:rPr>
          <w:rFonts w:ascii="Calibri" w:hAnsi="Calibri" w:cs="Calibri"/>
        </w:rPr>
      </w:pPr>
      <w:r>
        <w:rPr>
          <w:rFonts w:ascii="Calibri" w:hAnsi="Calibri" w:cs="Calibri"/>
        </w:rPr>
        <w:t xml:space="preserve">The </w:t>
      </w:r>
      <w:r w:rsidRPr="003F7077">
        <w:rPr>
          <w:rFonts w:ascii="Calibri" w:hAnsi="Calibri" w:cs="Calibri"/>
        </w:rPr>
        <w:t xml:space="preserve">following charts illustrate the Degree classification profile for the University of Hull level 6 and level </w:t>
      </w:r>
      <w:r w:rsidRPr="003F7077" w:rsidR="003A4FC4">
        <w:rPr>
          <w:rFonts w:ascii="Calibri" w:hAnsi="Calibri" w:cs="Calibri"/>
        </w:rPr>
        <w:t>7-degree</w:t>
      </w:r>
      <w:r w:rsidRPr="003F7077">
        <w:rPr>
          <w:rFonts w:ascii="Calibri" w:hAnsi="Calibri" w:cs="Calibri"/>
        </w:rPr>
        <w:t xml:space="preserve"> programmes </w:t>
      </w:r>
      <w:r w:rsidR="000E29D3">
        <w:rPr>
          <w:rFonts w:ascii="Calibri" w:hAnsi="Calibri" w:cs="Calibri"/>
        </w:rPr>
        <w:t>2018</w:t>
      </w:r>
      <w:r w:rsidR="00E12621">
        <w:rPr>
          <w:rFonts w:ascii="Calibri" w:hAnsi="Calibri" w:cs="Calibri"/>
        </w:rPr>
        <w:t>/19</w:t>
      </w:r>
      <w:r w:rsidR="000E29D3">
        <w:rPr>
          <w:rFonts w:ascii="Calibri" w:hAnsi="Calibri" w:cs="Calibri"/>
        </w:rPr>
        <w:t>-2022</w:t>
      </w:r>
      <w:r w:rsidR="00E12621">
        <w:rPr>
          <w:rFonts w:ascii="Calibri" w:hAnsi="Calibri" w:cs="Calibri"/>
        </w:rPr>
        <w:t>/23</w:t>
      </w:r>
      <w:r w:rsidRPr="003F7077">
        <w:rPr>
          <w:rFonts w:ascii="Calibri" w:hAnsi="Calibri" w:cs="Calibri"/>
        </w:rPr>
        <w:t xml:space="preserve">, including the proportion of </w:t>
      </w:r>
      <w:r w:rsidR="007953F4">
        <w:rPr>
          <w:rFonts w:ascii="Calibri" w:hAnsi="Calibri" w:cs="Calibri"/>
        </w:rPr>
        <w:t>‘</w:t>
      </w:r>
      <w:r w:rsidRPr="003F7077">
        <w:rPr>
          <w:rFonts w:ascii="Calibri" w:hAnsi="Calibri" w:cs="Calibri"/>
        </w:rPr>
        <w:t>upper</w:t>
      </w:r>
      <w:r w:rsidR="007953F4">
        <w:rPr>
          <w:rFonts w:ascii="Calibri" w:hAnsi="Calibri" w:cs="Calibri"/>
        </w:rPr>
        <w:t>’</w:t>
      </w:r>
      <w:r w:rsidRPr="003F7077">
        <w:rPr>
          <w:rFonts w:ascii="Calibri" w:hAnsi="Calibri" w:cs="Calibri"/>
        </w:rPr>
        <w:t xml:space="preserve"> degrees awarded (first or upper </w:t>
      </w:r>
      <w:r w:rsidRPr="003F7077" w:rsidR="003A4FC4">
        <w:rPr>
          <w:rFonts w:ascii="Calibri" w:hAnsi="Calibri" w:cs="Calibri"/>
        </w:rPr>
        <w:t>second-degree</w:t>
      </w:r>
      <w:r w:rsidRPr="003F7077">
        <w:rPr>
          <w:rFonts w:ascii="Calibri" w:hAnsi="Calibri" w:cs="Calibri"/>
        </w:rPr>
        <w:t xml:space="preserve"> classifications) achieved for the University and the Sector (where available).</w:t>
      </w:r>
    </w:p>
    <w:p w:rsidRPr="003F7077" w:rsidR="007D013F" w:rsidP="007D013F" w:rsidRDefault="007753AC" w14:paraId="0490B778" w14:textId="1171106F">
      <w:pPr>
        <w:spacing w:before="60" w:after="60"/>
        <w:rPr>
          <w:rFonts w:ascii="Calibri" w:hAnsi="Calibri" w:cs="Calibri"/>
        </w:rPr>
      </w:pPr>
      <w:r>
        <w:rPr>
          <w:noProof/>
        </w:rPr>
        <w:drawing>
          <wp:inline distT="0" distB="0" distL="0" distR="0" wp14:anchorId="39903ADB" wp14:editId="3CB7503B">
            <wp:extent cx="5351765" cy="2816127"/>
            <wp:effectExtent l="0" t="0" r="1905" b="3810"/>
            <wp:docPr id="1871283176" name="Chart 1">
              <a:extLst xmlns:a="http://schemas.openxmlformats.org/drawingml/2006/main">
                <a:ext uri="{FF2B5EF4-FFF2-40B4-BE49-F238E27FC236}">
                  <a16:creationId xmlns:a16="http://schemas.microsoft.com/office/drawing/2014/main" id="{5E26B2A5-9621-4902-B9A0-16B5F0DCAC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Pr="003F7077" w:rsidR="007D013F" w:rsidP="007D013F" w:rsidRDefault="00625C8F" w14:paraId="3EDB18FC" w14:textId="5D000832">
      <w:pPr>
        <w:rPr>
          <w:rFonts w:cs="Calibri"/>
        </w:rPr>
      </w:pPr>
      <w:r>
        <w:rPr>
          <w:noProof/>
        </w:rPr>
        <w:drawing>
          <wp:inline distT="0" distB="0" distL="0" distR="0" wp14:anchorId="65475D39" wp14:editId="633D90C2">
            <wp:extent cx="5351145" cy="2529840"/>
            <wp:effectExtent l="0" t="0" r="1905" b="3810"/>
            <wp:docPr id="658433145" name="Chart 1">
              <a:extLst xmlns:a="http://schemas.openxmlformats.org/drawingml/2006/main">
                <a:ext uri="{FF2B5EF4-FFF2-40B4-BE49-F238E27FC236}">
                  <a16:creationId xmlns:a16="http://schemas.microsoft.com/office/drawing/2014/main" id="{07E522B0-5B8B-40F3-9C2B-9A2AD6ACA9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3F7077" w:rsidR="007D013F" w:rsidP="00670309" w:rsidRDefault="007D013F" w14:paraId="765A63B2" w14:textId="7DFD04F7">
      <w:pPr>
        <w:spacing w:before="60" w:after="120"/>
        <w:rPr>
          <w:rFonts w:ascii="Calibri" w:hAnsi="Calibri" w:cs="Calibri"/>
        </w:rPr>
      </w:pPr>
      <w:bookmarkStart w:name="_Hlk135663826" w:id="0"/>
      <w:r w:rsidRPr="00242861">
        <w:rPr>
          <w:rFonts w:cs="Calibri"/>
        </w:rPr>
        <w:lastRenderedPageBreak/>
        <w:t xml:space="preserve">In </w:t>
      </w:r>
      <w:r w:rsidR="000E29D3">
        <w:rPr>
          <w:rFonts w:cs="Calibri"/>
        </w:rPr>
        <w:t>2022</w:t>
      </w:r>
      <w:r w:rsidR="00365089">
        <w:rPr>
          <w:rFonts w:cs="Calibri"/>
        </w:rPr>
        <w:t>/23</w:t>
      </w:r>
      <w:r w:rsidR="00307AC8">
        <w:rPr>
          <w:rFonts w:cs="Calibri"/>
        </w:rPr>
        <w:t xml:space="preserve"> </w:t>
      </w:r>
      <w:r w:rsidR="000E29D3">
        <w:rPr>
          <w:rFonts w:cs="Calibri"/>
        </w:rPr>
        <w:t>7</w:t>
      </w:r>
      <w:r w:rsidR="00365089">
        <w:rPr>
          <w:rFonts w:cs="Calibri"/>
        </w:rPr>
        <w:t>2</w:t>
      </w:r>
      <w:r w:rsidR="000E29D3">
        <w:rPr>
          <w:rFonts w:cs="Calibri"/>
        </w:rPr>
        <w:t>.</w:t>
      </w:r>
      <w:r w:rsidR="00365089">
        <w:rPr>
          <w:rFonts w:cs="Calibri"/>
        </w:rPr>
        <w:t>1</w:t>
      </w:r>
      <w:r w:rsidR="000E29D3">
        <w:rPr>
          <w:rFonts w:cs="Calibri"/>
        </w:rPr>
        <w:t>%</w:t>
      </w:r>
      <w:r w:rsidRPr="00242861" w:rsidR="00242861">
        <w:rPr>
          <w:rFonts w:cs="Calibri"/>
        </w:rPr>
        <w:t xml:space="preserve"> </w:t>
      </w:r>
      <w:r w:rsidRPr="00242861">
        <w:rPr>
          <w:rFonts w:cs="Calibri"/>
        </w:rPr>
        <w:t>of University of Hull students,</w:t>
      </w:r>
      <w:r w:rsidR="00242861">
        <w:rPr>
          <w:rFonts w:cs="Calibri"/>
        </w:rPr>
        <w:t xml:space="preserve"> </w:t>
      </w:r>
      <w:r w:rsidR="000E29D3">
        <w:rPr>
          <w:rFonts w:cs="Calibri"/>
        </w:rPr>
        <w:t>7</w:t>
      </w:r>
      <w:r w:rsidR="00365089">
        <w:rPr>
          <w:rFonts w:cs="Calibri"/>
        </w:rPr>
        <w:t>1</w:t>
      </w:r>
      <w:r w:rsidR="000E29D3">
        <w:rPr>
          <w:rFonts w:cs="Calibri"/>
        </w:rPr>
        <w:t>.</w:t>
      </w:r>
      <w:r w:rsidR="00E32B62">
        <w:rPr>
          <w:rFonts w:cs="Calibri"/>
        </w:rPr>
        <w:t>5</w:t>
      </w:r>
      <w:r w:rsidR="00242861">
        <w:rPr>
          <w:rFonts w:cs="Calibri"/>
        </w:rPr>
        <w:t xml:space="preserve">% </w:t>
      </w:r>
      <w:r w:rsidRPr="00242861">
        <w:rPr>
          <w:rFonts w:cs="Calibri"/>
        </w:rPr>
        <w:t>of Level 6 students, achieved a first or upper second degree</w:t>
      </w:r>
      <w:r w:rsidR="00307AC8">
        <w:rPr>
          <w:rFonts w:cs="Calibri"/>
        </w:rPr>
        <w:t>.</w:t>
      </w:r>
    </w:p>
    <w:p w:rsidR="00670309" w:rsidP="00307AC8" w:rsidRDefault="00670309" w14:paraId="0E96695B" w14:textId="12AB6D76">
      <w:pPr>
        <w:spacing w:before="60" w:after="120"/>
        <w:rPr>
          <w:rFonts w:ascii="Calibri" w:hAnsi="Calibri" w:cs="Calibri"/>
        </w:rPr>
      </w:pPr>
      <w:r w:rsidRPr="00A207C8">
        <w:rPr>
          <w:rFonts w:ascii="Calibri" w:hAnsi="Calibri" w:cs="Calibri"/>
        </w:rPr>
        <w:t>We continue to enhance our practice in learning, teaching and assessment. Our Transforming Programmes project has a particular focus on inclusive curriculum design and aims to improve outcomes, including opportunities to demonstrate achievement in the first and upper second range, for all students</w:t>
      </w:r>
      <w:r w:rsidR="00307AC8">
        <w:rPr>
          <w:rFonts w:ascii="Calibri" w:hAnsi="Calibri" w:cs="Calibri"/>
        </w:rPr>
        <w:t>.</w:t>
      </w:r>
    </w:p>
    <w:p w:rsidRPr="003F7077" w:rsidR="007D013F" w:rsidP="007D013F" w:rsidRDefault="007D013F" w14:paraId="1E95F2E5" w14:textId="77777777">
      <w:pPr>
        <w:spacing w:before="60" w:after="60"/>
        <w:rPr>
          <w:rFonts w:cstheme="minorHAnsi"/>
          <w:b/>
          <w:bCs/>
        </w:rPr>
      </w:pPr>
      <w:r w:rsidRPr="003F7077">
        <w:rPr>
          <w:rFonts w:eastAsia="Calibri"/>
        </w:rPr>
        <w:t xml:space="preserve">The University is fully committed to reducing variations in outcomes for students from different characteristics as set out in our </w:t>
      </w:r>
      <w:hyperlink w:history="1" r:id="rId12">
        <w:r w:rsidRPr="003F7077">
          <w:rPr>
            <w:rFonts w:eastAsia="Calibri"/>
            <w:color w:val="0000FF"/>
            <w:u w:val="single"/>
          </w:rPr>
          <w:t>Access and Participation Plan (2020/21 – 2024/25)</w:t>
        </w:r>
      </w:hyperlink>
      <w:r w:rsidRPr="003F7077">
        <w:rPr>
          <w:rFonts w:eastAsia="Calibri"/>
        </w:rPr>
        <w:t>. Our targets and commitments are based upon gaps either in relation to sector or internal benchmarks, with focus being paid to all areas where a gap exists, irrespective of the size of the student cohort.</w:t>
      </w:r>
      <w:r w:rsidRPr="003F7077">
        <w:rPr>
          <w:rFonts w:ascii="Calibri" w:hAnsi="Calibri" w:cs="Calibri"/>
        </w:rPr>
        <w:t xml:space="preserve"> </w:t>
      </w:r>
    </w:p>
    <w:bookmarkEnd w:id="0"/>
    <w:p w:rsidR="007D013F" w:rsidP="007D013F" w:rsidRDefault="007D013F" w14:paraId="7993F0FD" w14:textId="77777777">
      <w:pPr>
        <w:spacing w:before="60" w:after="60"/>
        <w:rPr>
          <w:rFonts w:cstheme="minorHAnsi"/>
        </w:rPr>
      </w:pPr>
    </w:p>
    <w:p w:rsidR="007D013F" w:rsidP="002E2C03" w:rsidRDefault="007D013F" w14:paraId="3B9103C9" w14:textId="77777777">
      <w:pPr>
        <w:spacing w:after="120"/>
        <w:rPr>
          <w:highlight w:val="yellow"/>
        </w:rPr>
      </w:pPr>
      <w:r>
        <w:rPr>
          <w:rFonts w:cstheme="minorHAnsi"/>
          <w:b/>
          <w:bCs/>
        </w:rPr>
        <w:t>Assessment and Marking Practices</w:t>
      </w:r>
      <w:r w:rsidRPr="00CE3E01">
        <w:rPr>
          <w:highlight w:val="yellow"/>
        </w:rPr>
        <w:t xml:space="preserve"> </w:t>
      </w:r>
    </w:p>
    <w:p w:rsidR="00C3071F" w:rsidP="002E2C03" w:rsidRDefault="007D013F" w14:paraId="69B81318" w14:textId="30A9333C">
      <w:pPr>
        <w:spacing w:before="60" w:after="120"/>
        <w:rPr>
          <w:rFonts w:ascii="Calibri" w:hAnsi="Calibri"/>
        </w:rPr>
      </w:pPr>
      <w:r w:rsidRPr="00421A03">
        <w:rPr>
          <w:rFonts w:ascii="Calibri" w:hAnsi="Calibri"/>
        </w:rPr>
        <w:t>We have in place a set of principles that governs our approach to assessment at the University such that both staff and students share common expectations and are aware of their responsibilities</w:t>
      </w:r>
      <w:r>
        <w:rPr>
          <w:rFonts w:ascii="Calibri" w:hAnsi="Calibri"/>
        </w:rPr>
        <w:t xml:space="preserve">. </w:t>
      </w:r>
      <w:r w:rsidRPr="00C3071F" w:rsidR="005E2AC6">
        <w:rPr>
          <w:rFonts w:cstheme="minorHAnsi"/>
          <w:color w:val="242424"/>
          <w:szCs w:val="22"/>
        </w:rPr>
        <w:t>Our</w:t>
      </w:r>
      <w:r w:rsidR="00C3071F">
        <w:rPr>
          <w:rFonts w:cstheme="minorHAnsi"/>
          <w:color w:val="242424"/>
          <w:szCs w:val="22"/>
        </w:rPr>
        <w:t xml:space="preserve"> </w:t>
      </w:r>
      <w:hyperlink w:tgtFrame="_blank" w:tooltip="https://www.hull.ac.uk/choose-hull/university-and-region/key-documents/docs/inclusive-assessment-marking-and-feedback-policy.pdf" w:history="1" r:id="rId13">
        <w:r w:rsidRPr="00C3071F" w:rsidR="005E2AC6">
          <w:rPr>
            <w:rStyle w:val="Hyperlink"/>
            <w:rFonts w:cstheme="minorHAnsi"/>
            <w:color w:val="6264A7"/>
            <w:szCs w:val="22"/>
          </w:rPr>
          <w:t>Inclusive Assessment, Marking and Feedback Policy</w:t>
        </w:r>
      </w:hyperlink>
      <w:r w:rsidR="00C3071F">
        <w:rPr>
          <w:rFonts w:cstheme="minorHAnsi"/>
          <w:color w:val="242424"/>
          <w:szCs w:val="22"/>
        </w:rPr>
        <w:t xml:space="preserve"> </w:t>
      </w:r>
      <w:r w:rsidRPr="00C3071F" w:rsidR="005E2AC6">
        <w:rPr>
          <w:rFonts w:cstheme="minorHAnsi"/>
          <w:color w:val="242424"/>
          <w:szCs w:val="22"/>
        </w:rPr>
        <w:t>supports our commitment to creating an inclusive learning environment and outlines how this can be realised when marking and giving feedback on students’ assessed work.</w:t>
      </w:r>
    </w:p>
    <w:p w:rsidR="007D013F" w:rsidP="00C3071F" w:rsidRDefault="007D013F" w14:paraId="55C173A2" w14:textId="77777777">
      <w:pPr>
        <w:spacing w:after="120"/>
        <w:rPr>
          <w:rFonts w:ascii="Calibri" w:hAnsi="Calibri"/>
        </w:rPr>
      </w:pPr>
      <w:r>
        <w:rPr>
          <w:rFonts w:ascii="Calibri" w:hAnsi="Calibri"/>
        </w:rPr>
        <w:t>A</w:t>
      </w:r>
      <w:r w:rsidRPr="00421A03">
        <w:rPr>
          <w:rFonts w:ascii="Calibri" w:hAnsi="Calibri"/>
        </w:rPr>
        <w:t>ssessment tasks are designed to be appropriate to</w:t>
      </w:r>
      <w:r>
        <w:rPr>
          <w:rFonts w:ascii="Calibri" w:hAnsi="Calibri"/>
        </w:rPr>
        <w:t xml:space="preserve"> the subject</w:t>
      </w:r>
      <w:r w:rsidRPr="00421A03">
        <w:rPr>
          <w:rFonts w:ascii="Calibri" w:hAnsi="Calibri"/>
        </w:rPr>
        <w:t xml:space="preserve"> and professional contexts, considering the requirements of Professional, Statutory and Regulatory </w:t>
      </w:r>
      <w:r>
        <w:rPr>
          <w:rFonts w:ascii="Calibri" w:hAnsi="Calibri"/>
        </w:rPr>
        <w:t>B</w:t>
      </w:r>
      <w:r w:rsidRPr="00421A03">
        <w:rPr>
          <w:rFonts w:ascii="Calibri" w:hAnsi="Calibri"/>
        </w:rPr>
        <w:t>odies (PSRB</w:t>
      </w:r>
      <w:r>
        <w:rPr>
          <w:rFonts w:ascii="Calibri" w:hAnsi="Calibri"/>
        </w:rPr>
        <w:t>s</w:t>
      </w:r>
      <w:r w:rsidRPr="00421A03">
        <w:rPr>
          <w:rFonts w:ascii="Calibri" w:hAnsi="Calibri"/>
        </w:rPr>
        <w:t>) as well as the relevant Subject Benchmark Statement</w:t>
      </w:r>
      <w:r w:rsidR="00C3071F">
        <w:rPr>
          <w:rFonts w:ascii="Calibri" w:hAnsi="Calibri"/>
        </w:rPr>
        <w:t xml:space="preserve"> and aligned to the appropriate level of the Framework for Higher Education Qualifications in England</w:t>
      </w:r>
      <w:r>
        <w:rPr>
          <w:rFonts w:ascii="Calibri" w:hAnsi="Calibri"/>
        </w:rPr>
        <w:t>.</w:t>
      </w:r>
    </w:p>
    <w:p w:rsidRPr="00DA73C5" w:rsidR="00C3071F" w:rsidP="00C3071F" w:rsidRDefault="00C3071F" w14:paraId="797DE79D" w14:textId="1F9027DA">
      <w:pPr>
        <w:spacing w:after="120"/>
        <w:rPr>
          <w:rFonts w:ascii="Calibri" w:hAnsi="Calibri"/>
        </w:rPr>
      </w:pPr>
      <w:r w:rsidRPr="00717F72">
        <w:t>External Examination of our programmes is rigorously maintained from the recruitment of suitably qualified external experts to our expectations for attendance at and report fr</w:t>
      </w:r>
      <w:r>
        <w:t>o</w:t>
      </w:r>
      <w:r w:rsidRPr="00717F72">
        <w:t>m Programme Examination Boards.</w:t>
      </w:r>
      <w:r w:rsidRPr="008455B1">
        <w:t xml:space="preserve"> </w:t>
      </w:r>
      <w:r>
        <w:t>E</w:t>
      </w:r>
      <w:r w:rsidRPr="008455B1">
        <w:t xml:space="preserve">xternal </w:t>
      </w:r>
      <w:r>
        <w:t>E</w:t>
      </w:r>
      <w:r w:rsidRPr="008455B1">
        <w:t xml:space="preserve">xaminers are asked to check and comment upon the standards of the qualification and </w:t>
      </w:r>
      <w:r w:rsidR="006C205F">
        <w:t>confirm that</w:t>
      </w:r>
      <w:r w:rsidRPr="008455B1" w:rsidR="006C205F">
        <w:t xml:space="preserve"> </w:t>
      </w:r>
      <w:r w:rsidRPr="008455B1">
        <w:t>student performance is comparable with national frameworks and with the standards of similar programmes in other UK higher education institutions.</w:t>
      </w:r>
    </w:p>
    <w:p w:rsidRPr="0036348C" w:rsidR="007D013F" w:rsidP="00C3071F" w:rsidRDefault="007D013F" w14:paraId="6E2B6319" w14:textId="77777777">
      <w:pPr>
        <w:spacing w:after="120"/>
        <w:rPr>
          <w:rFonts w:ascii="Calibri" w:hAnsi="Calibri"/>
        </w:rPr>
      </w:pPr>
      <w:r>
        <w:rPr>
          <w:rFonts w:ascii="Calibri" w:hAnsi="Calibri"/>
        </w:rPr>
        <w:t>In terms of opportunities to succeed, s</w:t>
      </w:r>
      <w:r w:rsidRPr="00DA73C5">
        <w:rPr>
          <w:rFonts w:ascii="Calibri" w:hAnsi="Calibri"/>
        </w:rPr>
        <w:t xml:space="preserve">tudents are always given the opportunity of reassessment in any modules in which they have not achieved a pass mark.  The pass mark for undergraduate provision is 40 and for postgraduate taught provision, 50. Students </w:t>
      </w:r>
      <w:r w:rsidR="00C3071F">
        <w:rPr>
          <w:rFonts w:ascii="Calibri" w:hAnsi="Calibri"/>
        </w:rPr>
        <w:t>have the right to reassessment</w:t>
      </w:r>
      <w:r w:rsidRPr="00DA73C5">
        <w:rPr>
          <w:rFonts w:ascii="Calibri" w:hAnsi="Calibri"/>
        </w:rPr>
        <w:t xml:space="preserve"> in the failed components of a</w:t>
      </w:r>
      <w:r w:rsidR="00C3071F">
        <w:rPr>
          <w:rFonts w:ascii="Calibri" w:hAnsi="Calibri"/>
        </w:rPr>
        <w:t>ny</w:t>
      </w:r>
      <w:r w:rsidRPr="00DA73C5">
        <w:rPr>
          <w:rFonts w:ascii="Calibri" w:hAnsi="Calibri"/>
        </w:rPr>
        <w:t xml:space="preserve"> module, normally on one occasion only.  Exceptions may include (but are not limited to) the impact of any mitigating circumstances and the nature of the assessment component.  </w:t>
      </w:r>
    </w:p>
    <w:p w:rsidR="007D013F" w:rsidP="007D013F" w:rsidRDefault="007D013F" w14:paraId="1185BA09" w14:textId="65B6B834">
      <w:pPr>
        <w:rPr>
          <w:rFonts w:cstheme="minorHAnsi"/>
        </w:rPr>
      </w:pPr>
      <w:r w:rsidRPr="00FB6733">
        <w:rPr>
          <w:rFonts w:cstheme="minorHAnsi"/>
        </w:rPr>
        <w:t>As part of our wider activity around learning teaching and assessment, our “Transforming Programmes” project commenced in 2019 with the aim of transforming our academic programmes</w:t>
      </w:r>
      <w:r>
        <w:rPr>
          <w:rFonts w:cstheme="minorHAnsi"/>
        </w:rPr>
        <w:t xml:space="preserve"> </w:t>
      </w:r>
      <w:r w:rsidRPr="00FB6733">
        <w:rPr>
          <w:rFonts w:cstheme="minorHAnsi"/>
        </w:rPr>
        <w:t xml:space="preserve">and improving outcomes for all students, with a particular focus on inclusive curriculum design. </w:t>
      </w:r>
      <w:r w:rsidR="00867083">
        <w:rPr>
          <w:rFonts w:cstheme="minorHAnsi"/>
        </w:rPr>
        <w:t>Positive outcomes are evident across the transformed portfolio, particularly in relation to non-continuation and student satisfaction.</w:t>
      </w:r>
      <w:r w:rsidRPr="00FB6733" w:rsidDel="00867083" w:rsidR="00867083">
        <w:rPr>
          <w:rFonts w:cstheme="minorHAnsi"/>
        </w:rPr>
        <w:t xml:space="preserve"> </w:t>
      </w:r>
    </w:p>
    <w:p w:rsidRPr="00717F72" w:rsidR="007D013F" w:rsidP="007D013F" w:rsidRDefault="007D013F" w14:paraId="523E99CD" w14:textId="77777777"/>
    <w:p w:rsidR="007D013F" w:rsidP="00307AC8" w:rsidRDefault="007D013F" w14:paraId="469F1F98" w14:textId="77777777">
      <w:pPr>
        <w:spacing w:before="60" w:after="120"/>
        <w:rPr>
          <w:rFonts w:cstheme="minorHAnsi"/>
          <w:b/>
          <w:bCs/>
        </w:rPr>
      </w:pPr>
      <w:r>
        <w:rPr>
          <w:rFonts w:cstheme="minorHAnsi"/>
          <w:b/>
          <w:bCs/>
        </w:rPr>
        <w:t>Academic Governance</w:t>
      </w:r>
    </w:p>
    <w:p w:rsidR="007D013F" w:rsidP="00307AC8" w:rsidRDefault="007D013F" w14:paraId="4F2BDFF3" w14:textId="77777777">
      <w:pPr>
        <w:autoSpaceDE w:val="0"/>
        <w:autoSpaceDN w:val="0"/>
        <w:adjustRightInd w:val="0"/>
        <w:spacing w:before="60" w:after="120"/>
        <w:rPr>
          <w:rFonts w:cstheme="minorHAnsi"/>
          <w:bCs/>
        </w:rPr>
      </w:pPr>
      <w:r w:rsidRPr="00AA5B49">
        <w:rPr>
          <w:rFonts w:cstheme="minorHAnsi"/>
          <w:bCs/>
        </w:rPr>
        <w:t>The University operates a well</w:t>
      </w:r>
      <w:r>
        <w:rPr>
          <w:rFonts w:cstheme="minorHAnsi"/>
          <w:bCs/>
        </w:rPr>
        <w:t>-</w:t>
      </w:r>
      <w:r w:rsidRPr="00AA5B49">
        <w:rPr>
          <w:rFonts w:cstheme="minorHAnsi"/>
          <w:bCs/>
        </w:rPr>
        <w:t xml:space="preserve">established and effective set of quality assurance processes to protect and maintain the academic standards of its awards. </w:t>
      </w:r>
    </w:p>
    <w:p w:rsidR="007D013F" w:rsidP="00307AC8" w:rsidRDefault="007D013F" w14:paraId="385DF001" w14:textId="240144F2">
      <w:pPr>
        <w:autoSpaceDE w:val="0"/>
        <w:autoSpaceDN w:val="0"/>
        <w:adjustRightInd w:val="0"/>
        <w:spacing w:before="60" w:after="120"/>
        <w:rPr>
          <w:rFonts w:cstheme="minorHAnsi"/>
          <w:bCs/>
        </w:rPr>
      </w:pPr>
      <w:bookmarkStart w:name="_Hlk68767802" w:id="1"/>
      <w:r>
        <w:rPr>
          <w:rFonts w:cstheme="minorHAnsi"/>
          <w:bCs/>
        </w:rPr>
        <w:t xml:space="preserve">The </w:t>
      </w:r>
      <w:r w:rsidRPr="00BA6FE9">
        <w:rPr>
          <w:rFonts w:cstheme="minorHAnsi"/>
          <w:bCs/>
        </w:rPr>
        <w:t xml:space="preserve">Institutional </w:t>
      </w:r>
      <w:r>
        <w:rPr>
          <w:rFonts w:cstheme="minorHAnsi"/>
          <w:bCs/>
        </w:rPr>
        <w:t>Q</w:t>
      </w:r>
      <w:r w:rsidRPr="00BA6FE9">
        <w:rPr>
          <w:rFonts w:cstheme="minorHAnsi"/>
          <w:bCs/>
        </w:rPr>
        <w:t>uality &amp;</w:t>
      </w:r>
      <w:r>
        <w:rPr>
          <w:rFonts w:cstheme="minorHAnsi"/>
          <w:bCs/>
        </w:rPr>
        <w:t xml:space="preserve"> </w:t>
      </w:r>
      <w:r w:rsidRPr="00BA6FE9">
        <w:rPr>
          <w:rFonts w:cstheme="minorHAnsi"/>
          <w:bCs/>
        </w:rPr>
        <w:t xml:space="preserve">Standards </w:t>
      </w:r>
      <w:r>
        <w:rPr>
          <w:rFonts w:cstheme="minorHAnsi"/>
          <w:bCs/>
        </w:rPr>
        <w:t>Re</w:t>
      </w:r>
      <w:r w:rsidRPr="00BA6FE9">
        <w:rPr>
          <w:rFonts w:cstheme="minorHAnsi"/>
          <w:bCs/>
        </w:rPr>
        <w:t>port</w:t>
      </w:r>
      <w:r>
        <w:rPr>
          <w:rFonts w:cstheme="minorHAnsi"/>
          <w:bCs/>
        </w:rPr>
        <w:t xml:space="preserve"> </w:t>
      </w:r>
      <w:bookmarkEnd w:id="1"/>
      <w:r>
        <w:rPr>
          <w:rFonts w:cstheme="minorHAnsi"/>
          <w:bCs/>
        </w:rPr>
        <w:t xml:space="preserve">is an </w:t>
      </w:r>
      <w:r w:rsidRPr="00BA6FE9">
        <w:rPr>
          <w:rFonts w:cstheme="minorHAnsi"/>
          <w:bCs/>
        </w:rPr>
        <w:t>annual report on the University’s approach to quality and</w:t>
      </w:r>
      <w:r>
        <w:rPr>
          <w:rFonts w:cstheme="minorHAnsi"/>
          <w:bCs/>
        </w:rPr>
        <w:t xml:space="preserve"> </w:t>
      </w:r>
      <w:r w:rsidRPr="00BA6FE9">
        <w:rPr>
          <w:rFonts w:cstheme="minorHAnsi"/>
          <w:bCs/>
        </w:rPr>
        <w:t xml:space="preserve">standards. </w:t>
      </w:r>
      <w:r w:rsidRPr="00AA5B49">
        <w:rPr>
          <w:rFonts w:cstheme="minorHAnsi"/>
          <w:bCs/>
        </w:rPr>
        <w:t>A</w:t>
      </w:r>
      <w:r>
        <w:rPr>
          <w:rFonts w:cstheme="minorHAnsi"/>
          <w:bCs/>
        </w:rPr>
        <w:t>s</w:t>
      </w:r>
      <w:r w:rsidRPr="00AA5B49">
        <w:rPr>
          <w:rFonts w:cstheme="minorHAnsi"/>
          <w:bCs/>
        </w:rPr>
        <w:t xml:space="preserve"> well as the opportunity for </w:t>
      </w:r>
      <w:r w:rsidR="00F43997">
        <w:rPr>
          <w:rFonts w:cstheme="minorHAnsi"/>
          <w:bCs/>
        </w:rPr>
        <w:t>Senate</w:t>
      </w:r>
      <w:r w:rsidRPr="00AA5B49">
        <w:rPr>
          <w:rFonts w:cstheme="minorHAnsi"/>
          <w:bCs/>
        </w:rPr>
        <w:t xml:space="preserve"> to comment on and debate the data, Education</w:t>
      </w:r>
      <w:r w:rsidR="00307AC8">
        <w:rPr>
          <w:rFonts w:cstheme="minorHAnsi"/>
          <w:bCs/>
        </w:rPr>
        <w:t xml:space="preserve"> and Student Experience</w:t>
      </w:r>
      <w:r w:rsidRPr="00AA5B49">
        <w:rPr>
          <w:rFonts w:cstheme="minorHAnsi"/>
          <w:bCs/>
        </w:rPr>
        <w:t xml:space="preserve"> Committee</w:t>
      </w:r>
      <w:r w:rsidR="00F43997">
        <w:rPr>
          <w:rFonts w:cstheme="minorHAnsi"/>
          <w:bCs/>
        </w:rPr>
        <w:t>, on behalf of Senate,</w:t>
      </w:r>
      <w:r w:rsidRPr="00AA5B49">
        <w:rPr>
          <w:rFonts w:cstheme="minorHAnsi"/>
          <w:bCs/>
        </w:rPr>
        <w:t xml:space="preserve"> has a remit at </w:t>
      </w:r>
      <w:r w:rsidR="00F43997">
        <w:rPr>
          <w:rFonts w:cstheme="minorHAnsi"/>
          <w:bCs/>
        </w:rPr>
        <w:t xml:space="preserve">a </w:t>
      </w:r>
      <w:r w:rsidRPr="00AA5B49">
        <w:rPr>
          <w:rFonts w:cstheme="minorHAnsi"/>
          <w:bCs/>
        </w:rPr>
        <w:lastRenderedPageBreak/>
        <w:t xml:space="preserve">more granular level to monitor the academic standards and quality of our awards, following the policies laid out in our internal Quality </w:t>
      </w:r>
      <w:r>
        <w:rPr>
          <w:rFonts w:cstheme="minorHAnsi"/>
          <w:bCs/>
        </w:rPr>
        <w:t>Handbook</w:t>
      </w:r>
    </w:p>
    <w:p w:rsidRPr="0045508C" w:rsidR="007D013F" w:rsidP="00307AC8" w:rsidRDefault="007D013F" w14:paraId="08858F27" w14:textId="77777777">
      <w:pPr>
        <w:autoSpaceDE w:val="0"/>
        <w:autoSpaceDN w:val="0"/>
        <w:adjustRightInd w:val="0"/>
        <w:spacing w:before="60" w:after="120"/>
        <w:rPr>
          <w:rFonts w:cstheme="minorHAnsi"/>
          <w:bCs/>
        </w:rPr>
      </w:pPr>
      <w:r w:rsidRPr="0045508C">
        <w:rPr>
          <w:rFonts w:cstheme="minorHAnsi"/>
          <w:bCs/>
        </w:rPr>
        <w:t>Senate provides the Institutional Quality &amp; Standards Report to Council annually. This allows Council to satisfy itself that academic standards and the quality of learning opportunities are being maintained.</w:t>
      </w:r>
    </w:p>
    <w:p w:rsidR="007D013F" w:rsidP="007D013F" w:rsidRDefault="007D013F" w14:paraId="06D183E4" w14:textId="77777777"/>
    <w:p w:rsidR="007D013F" w:rsidP="002E2C03" w:rsidRDefault="007D013F" w14:paraId="2EBD8890" w14:textId="77777777">
      <w:pPr>
        <w:spacing w:after="120"/>
        <w:rPr>
          <w:rFonts w:cstheme="minorHAnsi"/>
          <w:b/>
          <w:bCs/>
        </w:rPr>
      </w:pPr>
      <w:r>
        <w:rPr>
          <w:rFonts w:cstheme="minorHAnsi"/>
          <w:b/>
          <w:bCs/>
        </w:rPr>
        <w:t>Classification Algorithms</w:t>
      </w:r>
    </w:p>
    <w:p w:rsidRPr="002C40F6" w:rsidR="007D013F" w:rsidP="007D013F" w:rsidRDefault="007D013F" w14:paraId="28128B05" w14:textId="065F10EF">
      <w:pPr>
        <w:rPr>
          <w:rFonts w:cstheme="minorHAnsi"/>
          <w:bCs/>
        </w:rPr>
      </w:pPr>
      <w:r w:rsidRPr="002C40F6">
        <w:rPr>
          <w:rFonts w:cstheme="minorHAnsi"/>
          <w:bCs/>
        </w:rPr>
        <w:t>The University of Hull’s regulations for degree classification for undergraduate (level 6) students</w:t>
      </w:r>
      <w:r w:rsidR="00F43997">
        <w:rPr>
          <w:rFonts w:cstheme="minorHAnsi"/>
          <w:bCs/>
        </w:rPr>
        <w:t>,</w:t>
      </w:r>
      <w:r w:rsidRPr="002C40F6">
        <w:rPr>
          <w:rFonts w:cstheme="minorHAnsi"/>
          <w:bCs/>
        </w:rPr>
        <w:t xml:space="preserve"> including those studying at our validated</w:t>
      </w:r>
      <w:r>
        <w:rPr>
          <w:rFonts w:cstheme="minorHAnsi"/>
          <w:bCs/>
        </w:rPr>
        <w:t xml:space="preserve"> courses at</w:t>
      </w:r>
      <w:r w:rsidRPr="002C40F6">
        <w:rPr>
          <w:rFonts w:cstheme="minorHAnsi"/>
          <w:bCs/>
        </w:rPr>
        <w:t xml:space="preserve"> partner institutions</w:t>
      </w:r>
      <w:r w:rsidR="00F43997">
        <w:rPr>
          <w:rFonts w:cstheme="minorHAnsi"/>
          <w:bCs/>
        </w:rPr>
        <w:t>,</w:t>
      </w:r>
      <w:r w:rsidRPr="002C40F6">
        <w:rPr>
          <w:rFonts w:cstheme="minorHAnsi"/>
          <w:bCs/>
        </w:rPr>
        <w:t xml:space="preserve"> state that the following weightings will apply:</w:t>
      </w:r>
    </w:p>
    <w:p w:rsidRPr="002C40F6" w:rsidR="007D013F" w:rsidP="007D013F" w:rsidRDefault="007D013F" w14:paraId="6A6BFA3B" w14:textId="77777777">
      <w:pPr>
        <w:rPr>
          <w:rFonts w:cstheme="minorHAnsi"/>
          <w:bCs/>
        </w:rPr>
      </w:pPr>
    </w:p>
    <w:p w:rsidRPr="002C40F6" w:rsidR="007D013F" w:rsidP="007D013F" w:rsidRDefault="007D013F" w14:paraId="4B6BAB36" w14:textId="0819659D">
      <w:pPr>
        <w:rPr>
          <w:rFonts w:cstheme="minorHAnsi"/>
          <w:bCs/>
        </w:rPr>
      </w:pPr>
      <w:r w:rsidRPr="002C40F6">
        <w:rPr>
          <w:rFonts w:cstheme="minorHAnsi"/>
          <w:bCs/>
        </w:rPr>
        <w:t>Undergraduate Level 4</w:t>
      </w:r>
      <w:r w:rsidRPr="002C40F6">
        <w:rPr>
          <w:rFonts w:cstheme="minorHAnsi"/>
          <w:bCs/>
        </w:rPr>
        <w:tab/>
      </w:r>
      <w:r w:rsidRPr="002C40F6">
        <w:rPr>
          <w:rFonts w:cstheme="minorHAnsi"/>
          <w:bCs/>
        </w:rPr>
        <w:tab/>
      </w:r>
      <w:r w:rsidRPr="002C40F6">
        <w:rPr>
          <w:rFonts w:cstheme="minorHAnsi"/>
          <w:bCs/>
        </w:rPr>
        <w:tab/>
        <w:t xml:space="preserve"> weighted at 0% within the calculation</w:t>
      </w:r>
    </w:p>
    <w:p w:rsidRPr="002C40F6" w:rsidR="007D013F" w:rsidP="007D013F" w:rsidRDefault="007D013F" w14:paraId="7C94012B" w14:textId="515BE1C5">
      <w:pPr>
        <w:rPr>
          <w:rFonts w:cstheme="minorHAnsi"/>
          <w:bCs/>
        </w:rPr>
      </w:pPr>
      <w:r w:rsidRPr="002C40F6">
        <w:rPr>
          <w:rFonts w:cstheme="minorHAnsi"/>
          <w:bCs/>
        </w:rPr>
        <w:t>Undergraduate Level 5</w:t>
      </w:r>
      <w:r w:rsidRPr="002C40F6">
        <w:rPr>
          <w:rFonts w:cstheme="minorHAnsi"/>
          <w:bCs/>
        </w:rPr>
        <w:tab/>
      </w:r>
      <w:r w:rsidRPr="002C40F6">
        <w:rPr>
          <w:rFonts w:cstheme="minorHAnsi"/>
          <w:bCs/>
        </w:rPr>
        <w:tab/>
      </w:r>
      <w:r w:rsidRPr="002C40F6">
        <w:rPr>
          <w:rFonts w:cstheme="minorHAnsi"/>
          <w:bCs/>
        </w:rPr>
        <w:tab/>
        <w:t xml:space="preserve"> weighted at 30% within the calculation</w:t>
      </w:r>
    </w:p>
    <w:p w:rsidR="007D013F" w:rsidP="007D013F" w:rsidRDefault="007D013F" w14:paraId="54FDC48F" w14:textId="4CF12313">
      <w:pPr>
        <w:rPr>
          <w:rFonts w:cstheme="minorHAnsi"/>
          <w:bCs/>
        </w:rPr>
      </w:pPr>
      <w:r w:rsidRPr="002C40F6">
        <w:rPr>
          <w:rFonts w:cstheme="minorHAnsi"/>
          <w:bCs/>
        </w:rPr>
        <w:t>Undergraduate Level 6</w:t>
      </w:r>
      <w:r w:rsidRPr="002C40F6">
        <w:rPr>
          <w:rFonts w:cstheme="minorHAnsi"/>
          <w:bCs/>
        </w:rPr>
        <w:tab/>
      </w:r>
      <w:r w:rsidRPr="002C40F6">
        <w:rPr>
          <w:rFonts w:cstheme="minorHAnsi"/>
          <w:bCs/>
        </w:rPr>
        <w:tab/>
      </w:r>
      <w:r w:rsidRPr="002C40F6">
        <w:rPr>
          <w:rFonts w:cstheme="minorHAnsi"/>
          <w:bCs/>
        </w:rPr>
        <w:tab/>
        <w:t xml:space="preserve"> weighted at 70% within the calculation</w:t>
      </w:r>
    </w:p>
    <w:p w:rsidR="007D013F" w:rsidP="007D013F" w:rsidRDefault="007D013F" w14:paraId="266A7832" w14:textId="77777777">
      <w:pPr>
        <w:rPr>
          <w:rFonts w:cstheme="minorHAnsi"/>
          <w:bCs/>
        </w:rPr>
      </w:pPr>
    </w:p>
    <w:p w:rsidR="007D013F" w:rsidP="003A4FC4" w:rsidRDefault="007D013F" w14:paraId="3D5605B9" w14:textId="7F279CAF">
      <w:pPr>
        <w:rPr>
          <w:rFonts w:cstheme="minorHAnsi"/>
          <w:bCs/>
        </w:rPr>
      </w:pPr>
      <w:r>
        <w:rPr>
          <w:rFonts w:cstheme="minorHAnsi"/>
          <w:bCs/>
        </w:rPr>
        <w:t xml:space="preserve">Consistent with </w:t>
      </w:r>
      <w:proofErr w:type="gramStart"/>
      <w:r>
        <w:rPr>
          <w:rFonts w:cstheme="minorHAnsi"/>
          <w:bCs/>
        </w:rPr>
        <w:t>the majority of</w:t>
      </w:r>
      <w:proofErr w:type="gramEnd"/>
      <w:r>
        <w:rPr>
          <w:rFonts w:cstheme="minorHAnsi"/>
          <w:bCs/>
        </w:rPr>
        <w:t xml:space="preserve"> UK Higher Education Providers level 4 modules are omitted from the degree classification algorithm, with the majority of the classification weighting applied to Level 6 modules studied in the final year. This enables students in many cases to benefit from a deeper understanding of the inter-connectivity of subjects and layering of knowledge. This algorithm has been applied since 2017/18</w:t>
      </w:r>
      <w:r w:rsidR="003A4FC4">
        <w:rPr>
          <w:rFonts w:cstheme="minorHAnsi"/>
          <w:bCs/>
        </w:rPr>
        <w:t>.</w:t>
      </w:r>
    </w:p>
    <w:p w:rsidR="00D80319" w:rsidP="007D013F" w:rsidRDefault="00D80319" w14:paraId="2EF83FAD" w14:textId="77777777">
      <w:pPr>
        <w:rPr>
          <w:rFonts w:cstheme="minorHAnsi"/>
          <w:bCs/>
        </w:rPr>
      </w:pPr>
    </w:p>
    <w:p w:rsidR="007D013F" w:rsidP="00307AC8" w:rsidRDefault="00C024D0" w14:paraId="5A4A5485" w14:textId="5B2AE859">
      <w:pPr>
        <w:spacing w:before="60" w:after="120"/>
        <w:rPr>
          <w:rFonts w:cstheme="minorHAnsi"/>
          <w:bCs/>
        </w:rPr>
      </w:pPr>
      <w:r>
        <w:rPr>
          <w:rFonts w:cstheme="minorHAnsi"/>
          <w:bCs/>
        </w:rPr>
        <w:t>An</w:t>
      </w:r>
      <w:r w:rsidR="007D013F">
        <w:rPr>
          <w:rFonts w:cstheme="minorHAnsi"/>
          <w:bCs/>
        </w:rPr>
        <w:t xml:space="preserve"> exception </w:t>
      </w:r>
      <w:r>
        <w:rPr>
          <w:rFonts w:cstheme="minorHAnsi"/>
          <w:bCs/>
        </w:rPr>
        <w:t xml:space="preserve">applies </w:t>
      </w:r>
      <w:r w:rsidR="007D013F">
        <w:rPr>
          <w:rFonts w:cstheme="minorHAnsi"/>
          <w:bCs/>
        </w:rPr>
        <w:t>to</w:t>
      </w:r>
      <w:r w:rsidRPr="00DA73C5" w:rsidR="007D013F">
        <w:rPr>
          <w:rFonts w:ascii="Calibri" w:hAnsi="Calibri"/>
        </w:rPr>
        <w:t xml:space="preserve"> the Faculty of Business, Law and Politics, the Business School put forward a rationale for exemption from the standard 30:70 weighting.  Students on the School’s Hong Kong programmes enter with advanced standing under a progression agreement and as such, they are only required to take 60 credits at level 5 before progressing to level 6.  As students on these programmes will only be doing half of level 5, the school implemented a 20:80 weighting to these programmes.  </w:t>
      </w:r>
    </w:p>
    <w:p w:rsidRPr="003A4FC4" w:rsidR="007D013F" w:rsidP="003A4FC4" w:rsidRDefault="00C3071F" w14:paraId="4FD7E3D0" w14:textId="544B5356">
      <w:pPr>
        <w:spacing w:before="60" w:after="120"/>
        <w:rPr>
          <w:rFonts w:ascii="Calibri" w:hAnsi="Calibri"/>
        </w:rPr>
      </w:pPr>
      <w:r>
        <w:rPr>
          <w:rFonts w:ascii="Calibri" w:hAnsi="Calibri"/>
        </w:rPr>
        <w:t>B</w:t>
      </w:r>
      <w:r w:rsidRPr="00DA73C5" w:rsidR="007D013F">
        <w:rPr>
          <w:rFonts w:ascii="Calibri" w:hAnsi="Calibri"/>
        </w:rPr>
        <w:t>orderline regulations</w:t>
      </w:r>
      <w:r w:rsidRPr="00DA73C5" w:rsidR="007D013F">
        <w:rPr>
          <w:rFonts w:cstheme="minorHAnsi"/>
          <w:bCs/>
        </w:rPr>
        <w:t xml:space="preserve"> allow a review of student profiles in a borderline position. The University’s approach to determin</w:t>
      </w:r>
      <w:r w:rsidR="00F43997">
        <w:rPr>
          <w:rFonts w:cstheme="minorHAnsi"/>
          <w:bCs/>
        </w:rPr>
        <w:t>ing</w:t>
      </w:r>
      <w:r w:rsidRPr="00DA73C5" w:rsidR="007D013F">
        <w:rPr>
          <w:rFonts w:cstheme="minorHAnsi"/>
          <w:bCs/>
        </w:rPr>
        <w:t xml:space="preserve"> eligibility is rules based. There is no discretion.</w:t>
      </w:r>
      <w:r w:rsidRPr="00DA73C5" w:rsidR="007D013F">
        <w:rPr>
          <w:rFonts w:ascii="Calibri" w:hAnsi="Calibri"/>
        </w:rPr>
        <w:t xml:space="preserve"> Any students who do not meet the </w:t>
      </w:r>
      <w:r>
        <w:rPr>
          <w:rFonts w:ascii="Calibri" w:hAnsi="Calibri"/>
        </w:rPr>
        <w:t>eligibility criteria</w:t>
      </w:r>
      <w:r w:rsidRPr="00DA73C5" w:rsidR="007D013F">
        <w:rPr>
          <w:rFonts w:ascii="Calibri" w:hAnsi="Calibri"/>
        </w:rPr>
        <w:t xml:space="preserve"> will not be awarded the higher classification.</w:t>
      </w:r>
    </w:p>
    <w:p w:rsidR="007D013F" w:rsidP="007D013F" w:rsidRDefault="007D013F" w14:paraId="284B8339" w14:textId="77777777">
      <w:pPr>
        <w:ind w:left="0"/>
      </w:pPr>
    </w:p>
    <w:p w:rsidR="007D013F" w:rsidP="002E2C03" w:rsidRDefault="007D013F" w14:paraId="73F5E151" w14:textId="77777777">
      <w:pPr>
        <w:spacing w:after="120"/>
        <w:rPr>
          <w:rFonts w:cstheme="minorHAnsi"/>
        </w:rPr>
      </w:pPr>
      <w:r>
        <w:rPr>
          <w:rFonts w:cstheme="minorHAnsi"/>
          <w:b/>
          <w:bCs/>
        </w:rPr>
        <w:t>Teaching Practices and Learning Resources</w:t>
      </w:r>
      <w:r w:rsidRPr="00FB6733">
        <w:rPr>
          <w:rFonts w:cstheme="minorHAnsi"/>
        </w:rPr>
        <w:t xml:space="preserve"> </w:t>
      </w:r>
    </w:p>
    <w:p w:rsidR="002E2C03" w:rsidP="002E2C03" w:rsidRDefault="002E2C03" w14:paraId="2D52E8E5" w14:textId="2DB2E002">
      <w:pPr>
        <w:spacing w:after="120"/>
        <w:rPr>
          <w:rFonts w:cstheme="minorHAnsi"/>
        </w:rPr>
      </w:pPr>
      <w:r>
        <w:rPr>
          <w:rFonts w:cstheme="minorHAnsi"/>
        </w:rPr>
        <w:t xml:space="preserve">The University of Hull was awarded an overall </w:t>
      </w:r>
      <w:proofErr w:type="gramStart"/>
      <w:r>
        <w:rPr>
          <w:rFonts w:cstheme="minorHAnsi"/>
        </w:rPr>
        <w:t>Gold</w:t>
      </w:r>
      <w:proofErr w:type="gramEnd"/>
      <w:r>
        <w:rPr>
          <w:rFonts w:cstheme="minorHAnsi"/>
        </w:rPr>
        <w:t xml:space="preserve"> rating in the 2023 Teaching Excellence Framework (TEF). A Gold rating is awarded where</w:t>
      </w:r>
      <w:r w:rsidR="003A4FC4">
        <w:rPr>
          <w:rFonts w:cstheme="minorHAnsi"/>
        </w:rPr>
        <w:t>:</w:t>
      </w:r>
    </w:p>
    <w:p w:rsidRPr="002E2C03" w:rsidR="007D013F" w:rsidP="002E2C03" w:rsidRDefault="002E2C03" w14:paraId="3AD1E8CC" w14:textId="2172C4FD">
      <w:pPr>
        <w:spacing w:after="120"/>
        <w:jc w:val="center"/>
        <w:rPr>
          <w:rFonts w:cstheme="minorHAnsi"/>
          <w:b/>
          <w:i/>
          <w:color w:val="1F3864" w:themeColor="accent1" w:themeShade="80"/>
        </w:rPr>
      </w:pPr>
      <w:r w:rsidRPr="002E2C03">
        <w:rPr>
          <w:rFonts w:cstheme="minorHAnsi"/>
          <w:b/>
          <w:i/>
          <w:color w:val="1F3864" w:themeColor="accent1" w:themeShade="80"/>
        </w:rPr>
        <w:t>‘The student experience and student outcomes are typically outstanding</w:t>
      </w:r>
      <w:r>
        <w:rPr>
          <w:rFonts w:cstheme="minorHAnsi"/>
          <w:b/>
          <w:i/>
          <w:color w:val="1F3864" w:themeColor="accent1" w:themeShade="80"/>
        </w:rPr>
        <w:t>’</w:t>
      </w:r>
    </w:p>
    <w:p w:rsidR="002E2C03" w:rsidP="007D013F" w:rsidRDefault="002E2C03" w14:paraId="7B8073A6" w14:textId="370740B3">
      <w:pPr>
        <w:rPr>
          <w:rFonts w:cstheme="minorHAnsi"/>
        </w:rPr>
      </w:pPr>
      <w:r>
        <w:rPr>
          <w:rFonts w:cstheme="minorHAnsi"/>
        </w:rPr>
        <w:t xml:space="preserve">Read </w:t>
      </w:r>
      <w:hyperlink w:history="1" r:id="rId14">
        <w:r w:rsidRPr="002E2C03">
          <w:rPr>
            <w:rStyle w:val="Hyperlink"/>
            <w:rFonts w:cstheme="minorHAnsi"/>
          </w:rPr>
          <w:t>here</w:t>
        </w:r>
      </w:hyperlink>
      <w:r>
        <w:rPr>
          <w:rFonts w:cstheme="minorHAnsi"/>
        </w:rPr>
        <w:t xml:space="preserve"> how we have used feedback from our students to drive transformation of our approach to teaching, to enhance our academic and pastoral support and to empower students to achieve their own personal and professional success.</w:t>
      </w:r>
    </w:p>
    <w:p w:rsidR="002E2C03" w:rsidP="007D013F" w:rsidRDefault="002E2C03" w14:paraId="16CA068D" w14:textId="77777777">
      <w:pPr>
        <w:rPr>
          <w:rFonts w:cstheme="minorHAnsi"/>
        </w:rPr>
      </w:pPr>
    </w:p>
    <w:p w:rsidR="007D013F" w:rsidP="00307AC8" w:rsidRDefault="007D013F" w14:paraId="5497A2DB" w14:textId="77777777">
      <w:pPr>
        <w:autoSpaceDE w:val="0"/>
        <w:autoSpaceDN w:val="0"/>
        <w:adjustRightInd w:val="0"/>
        <w:spacing w:before="60" w:after="120"/>
      </w:pPr>
      <w:r>
        <w:rPr>
          <w:rFonts w:cstheme="minorHAnsi"/>
          <w:b/>
          <w:bCs/>
        </w:rPr>
        <w:t>Identifying Good Practice and Actions</w:t>
      </w:r>
      <w:r w:rsidRPr="00622EA1">
        <w:t xml:space="preserve"> </w:t>
      </w:r>
    </w:p>
    <w:p w:rsidR="007D013F" w:rsidP="00307AC8" w:rsidRDefault="007D013F" w14:paraId="00A5EA3C" w14:textId="723FC747">
      <w:pPr>
        <w:autoSpaceDE w:val="0"/>
        <w:autoSpaceDN w:val="0"/>
        <w:adjustRightInd w:val="0"/>
        <w:spacing w:before="60" w:after="120"/>
        <w:rPr>
          <w:rFonts w:ascii="Calibri" w:hAnsi="Calibri" w:cs="Calibri"/>
        </w:rPr>
      </w:pPr>
      <w:r>
        <w:rPr>
          <w:rFonts w:ascii="Calibri" w:hAnsi="Calibri" w:cs="Calibri"/>
        </w:rPr>
        <w:t xml:space="preserve">During the </w:t>
      </w:r>
      <w:r w:rsidR="007953F4">
        <w:rPr>
          <w:rFonts w:ascii="Calibri" w:hAnsi="Calibri" w:cs="Calibri"/>
        </w:rPr>
        <w:t>202</w:t>
      </w:r>
      <w:r w:rsidR="006C205F">
        <w:rPr>
          <w:rFonts w:ascii="Calibri" w:hAnsi="Calibri" w:cs="Calibri"/>
        </w:rPr>
        <w:t>2</w:t>
      </w:r>
      <w:r w:rsidR="003C6D95">
        <w:rPr>
          <w:rFonts w:ascii="Calibri" w:hAnsi="Calibri" w:cs="Calibri"/>
        </w:rPr>
        <w:t>/23</w:t>
      </w:r>
      <w:r w:rsidR="00FB2E1C">
        <w:rPr>
          <w:rFonts w:ascii="Calibri" w:hAnsi="Calibri" w:cs="Calibri"/>
        </w:rPr>
        <w:t xml:space="preserve"> </w:t>
      </w:r>
      <w:r>
        <w:rPr>
          <w:rFonts w:ascii="Calibri" w:hAnsi="Calibri" w:cs="Calibri"/>
        </w:rPr>
        <w:t xml:space="preserve">session </w:t>
      </w:r>
      <w:r w:rsidR="007953F4">
        <w:rPr>
          <w:rFonts w:ascii="Calibri" w:hAnsi="Calibri" w:cs="Calibri"/>
        </w:rPr>
        <w:t>Schools</w:t>
      </w:r>
      <w:r>
        <w:rPr>
          <w:rFonts w:ascii="Calibri" w:hAnsi="Calibri" w:cs="Calibri"/>
        </w:rPr>
        <w:t xml:space="preserve"> continued to run learning and teaching or UG/PGT committees which report to the Faculty Education and Student Experience Committee (FESEC). Issues and enhancement opportunities are reported to and in some cases identified by these committees. They also receive reports from Student/Staff Forums which are, again, then reported to FESEC. FESEC plays a key role in both monitoring and identifying enhancement opportunities across the </w:t>
      </w:r>
      <w:r w:rsidR="003A4FC4">
        <w:rPr>
          <w:rFonts w:ascii="Calibri" w:hAnsi="Calibri" w:cs="Calibri"/>
        </w:rPr>
        <w:t>faculty</w:t>
      </w:r>
      <w:r>
        <w:rPr>
          <w:rFonts w:ascii="Calibri" w:hAnsi="Calibri" w:cs="Calibri"/>
        </w:rPr>
        <w:t xml:space="preserve">, and crucially of monitoring resulting action points and completion following the identification of issues and opportunities at </w:t>
      </w:r>
      <w:r w:rsidR="00120BBB">
        <w:rPr>
          <w:rFonts w:ascii="Calibri" w:hAnsi="Calibri" w:cs="Calibri"/>
        </w:rPr>
        <w:t xml:space="preserve">School </w:t>
      </w:r>
      <w:r>
        <w:rPr>
          <w:rFonts w:ascii="Calibri" w:hAnsi="Calibri" w:cs="Calibri"/>
        </w:rPr>
        <w:t xml:space="preserve">level. </w:t>
      </w:r>
    </w:p>
    <w:p w:rsidR="00D108C5" w:rsidP="00307AC8" w:rsidRDefault="00D108C5" w14:paraId="0B6C3540" w14:textId="17B795AF">
      <w:pPr>
        <w:autoSpaceDE w:val="0"/>
        <w:autoSpaceDN w:val="0"/>
        <w:adjustRightInd w:val="0"/>
        <w:spacing w:before="60" w:after="120"/>
        <w:rPr>
          <w:rFonts w:ascii="Calibri" w:hAnsi="Calibri" w:cs="Calibri"/>
          <w:szCs w:val="22"/>
        </w:rPr>
      </w:pPr>
      <w:r w:rsidRPr="00A207C8">
        <w:rPr>
          <w:rFonts w:ascii="Calibri" w:hAnsi="Calibri" w:cs="Calibri"/>
        </w:rPr>
        <w:lastRenderedPageBreak/>
        <w:t>The annual module review process monitors student attainment, overall MEQ patterns, assessment completion rates and module report submission rates, all of which contributes to continuous programme monitoring and informs strategic considerations regarding the planning and review of teaching provision.</w:t>
      </w:r>
      <w:r>
        <w:rPr>
          <w:rFonts w:ascii="Calibri" w:hAnsi="Calibri" w:cs="Calibri"/>
        </w:rPr>
        <w:t xml:space="preserve"> </w:t>
      </w:r>
    </w:p>
    <w:p w:rsidR="007D013F" w:rsidP="00307AC8" w:rsidRDefault="0058109E" w14:paraId="48987443" w14:textId="16D32F81">
      <w:pPr>
        <w:autoSpaceDE w:val="0"/>
        <w:autoSpaceDN w:val="0"/>
        <w:adjustRightInd w:val="0"/>
        <w:spacing w:before="60" w:after="120"/>
        <w:rPr>
          <w:rFonts w:ascii="Calibri" w:hAnsi="Calibri" w:cs="Calibri"/>
        </w:rPr>
      </w:pPr>
      <w:r>
        <w:rPr>
          <w:rFonts w:ascii="Calibri" w:hAnsi="Calibri" w:cs="Calibri"/>
        </w:rPr>
        <w:t>Annual and c</w:t>
      </w:r>
      <w:r w:rsidR="007953F4">
        <w:rPr>
          <w:rFonts w:ascii="Calibri" w:hAnsi="Calibri" w:cs="Calibri"/>
        </w:rPr>
        <w:t>ontinuous</w:t>
      </w:r>
      <w:r w:rsidR="007D013F">
        <w:rPr>
          <w:rFonts w:ascii="Calibri" w:hAnsi="Calibri" w:cs="Calibri"/>
        </w:rPr>
        <w:t xml:space="preserve"> monitoring is coordinated and monitored at Faculty level. Each Faculty has</w:t>
      </w:r>
      <w:r>
        <w:rPr>
          <w:rFonts w:ascii="Calibri" w:hAnsi="Calibri" w:cs="Calibri"/>
        </w:rPr>
        <w:t xml:space="preserve"> </w:t>
      </w:r>
      <w:r w:rsidR="007D013F">
        <w:rPr>
          <w:rFonts w:ascii="Calibri" w:hAnsi="Calibri" w:cs="Calibri"/>
        </w:rPr>
        <w:t>autonomy to manage this process. A summary of FESEC activity is submitted to the Education</w:t>
      </w:r>
      <w:r w:rsidR="00777BC7">
        <w:rPr>
          <w:rFonts w:ascii="Calibri" w:hAnsi="Calibri" w:cs="Calibri"/>
        </w:rPr>
        <w:t xml:space="preserve"> and Student Experience</w:t>
      </w:r>
      <w:r w:rsidR="007D013F">
        <w:rPr>
          <w:rFonts w:ascii="Calibri" w:hAnsi="Calibri" w:cs="Calibri"/>
        </w:rPr>
        <w:t xml:space="preserve"> Committee especially where there are any issues for escalation and/or approval.</w:t>
      </w:r>
    </w:p>
    <w:p w:rsidRPr="00BA6FE9" w:rsidR="0024730B" w:rsidP="003A4FC4" w:rsidRDefault="0024730B" w14:paraId="40FBCB02" w14:textId="13CCE4A8">
      <w:pPr>
        <w:autoSpaceDE w:val="0"/>
        <w:autoSpaceDN w:val="0"/>
        <w:adjustRightInd w:val="0"/>
        <w:spacing w:before="60" w:after="120"/>
        <w:rPr>
          <w:rFonts w:ascii="Calibri" w:hAnsi="Calibri" w:cs="Calibri"/>
        </w:rPr>
      </w:pPr>
      <w:r>
        <w:rPr>
          <w:rFonts w:ascii="Calibri" w:hAnsi="Calibri" w:cs="Calibri"/>
        </w:rPr>
        <w:t xml:space="preserve">During the </w:t>
      </w:r>
      <w:r w:rsidR="006860CF">
        <w:rPr>
          <w:rFonts w:ascii="Calibri" w:hAnsi="Calibri" w:cs="Calibri"/>
        </w:rPr>
        <w:t>23/24</w:t>
      </w:r>
      <w:r>
        <w:rPr>
          <w:rFonts w:ascii="Calibri" w:hAnsi="Calibri" w:cs="Calibri"/>
        </w:rPr>
        <w:t xml:space="preserve"> session</w:t>
      </w:r>
      <w:r w:rsidR="000B50EC">
        <w:rPr>
          <w:rFonts w:ascii="Calibri" w:hAnsi="Calibri" w:cs="Calibri"/>
        </w:rPr>
        <w:t xml:space="preserve"> periodic evaluations of </w:t>
      </w:r>
      <w:r w:rsidR="00402A48">
        <w:rPr>
          <w:rFonts w:ascii="Calibri" w:hAnsi="Calibri" w:cs="Calibri"/>
        </w:rPr>
        <w:t xml:space="preserve">Mathematics, Music, </w:t>
      </w:r>
      <w:r w:rsidR="002A5048">
        <w:rPr>
          <w:rFonts w:ascii="Calibri" w:hAnsi="Calibri" w:cs="Calibri"/>
        </w:rPr>
        <w:t xml:space="preserve">Marine Biology and Computer Science </w:t>
      </w:r>
      <w:r w:rsidR="000B50EC">
        <w:rPr>
          <w:rFonts w:ascii="Calibri" w:hAnsi="Calibri" w:cs="Calibri"/>
        </w:rPr>
        <w:t xml:space="preserve">provision </w:t>
      </w:r>
      <w:r>
        <w:rPr>
          <w:rFonts w:ascii="Calibri" w:hAnsi="Calibri" w:cs="Calibri"/>
        </w:rPr>
        <w:t xml:space="preserve">were </w:t>
      </w:r>
      <w:r w:rsidR="00DE4071">
        <w:rPr>
          <w:rFonts w:ascii="Calibri" w:hAnsi="Calibri" w:cs="Calibri"/>
        </w:rPr>
        <w:t>carried out using the University’s Developmental Engagement with Subjects (DES) process.</w:t>
      </w:r>
      <w:r>
        <w:rPr>
          <w:rFonts w:ascii="Calibri" w:hAnsi="Calibri" w:cs="Calibri"/>
        </w:rPr>
        <w:t xml:space="preserve"> </w:t>
      </w:r>
    </w:p>
    <w:p w:rsidR="007D013F" w:rsidP="00307AC8" w:rsidRDefault="007D013F" w14:paraId="74709D67" w14:textId="77777777">
      <w:pPr>
        <w:spacing w:before="240" w:after="120"/>
        <w:rPr>
          <w:rFonts w:cstheme="minorHAnsi"/>
          <w:b/>
        </w:rPr>
      </w:pPr>
      <w:r w:rsidRPr="00622EA1">
        <w:rPr>
          <w:rFonts w:cstheme="minorHAnsi"/>
          <w:b/>
        </w:rPr>
        <w:t xml:space="preserve">Risks and </w:t>
      </w:r>
      <w:r>
        <w:rPr>
          <w:rFonts w:cstheme="minorHAnsi"/>
          <w:b/>
        </w:rPr>
        <w:t>C</w:t>
      </w:r>
      <w:r w:rsidRPr="00622EA1">
        <w:rPr>
          <w:rFonts w:cstheme="minorHAnsi"/>
          <w:b/>
        </w:rPr>
        <w:t>hallenges</w:t>
      </w:r>
    </w:p>
    <w:p w:rsidR="007D013F" w:rsidP="00307AC8" w:rsidRDefault="007D013F" w14:paraId="5DF43834" w14:textId="77777777">
      <w:pPr>
        <w:spacing w:before="60" w:after="120"/>
      </w:pPr>
      <w:r>
        <w:rPr>
          <w:rFonts w:ascii="Calibri" w:hAnsi="Calibri" w:cs="Calibri"/>
        </w:rPr>
        <w:t>The University has a strategic focus on reducing four key awarding gaps, in line with the Access and Participation Plan.</w:t>
      </w:r>
    </w:p>
    <w:p w:rsidRPr="00120BBB" w:rsidR="00C319DC" w:rsidP="00307AC8" w:rsidRDefault="007D013F" w14:paraId="5D62F4BB" w14:textId="3B289FFF">
      <w:pPr>
        <w:spacing w:before="60" w:after="120"/>
      </w:pPr>
      <w:r>
        <w:t xml:space="preserve">As with all educational providers, the University of Hull navigated the public health challenges of 2019/20 and beyond. The University </w:t>
      </w:r>
      <w:r w:rsidR="0058109E">
        <w:t>returned to campus</w:t>
      </w:r>
      <w:r w:rsidR="0020206A">
        <w:t>-based</w:t>
      </w:r>
      <w:r w:rsidR="0058109E">
        <w:t xml:space="preserve"> delivery in 2021/22, retaining appropriate innovations in teaching, assessment and marking practices, </w:t>
      </w:r>
      <w:r w:rsidR="00120BBB">
        <w:t>for example adopting a digital first approach to assessment</w:t>
      </w:r>
      <w:r>
        <w:t>.</w:t>
      </w:r>
    </w:p>
    <w:sectPr w:rsidRPr="00120BBB" w:rsidR="00C319DC" w:rsidSect="006D5AF1">
      <w:footerReference w:type="default" r:id="rId15"/>
      <w:footerReference w:type="first" r:id="rId16"/>
      <w:pgSz w:w="11906" w:h="16838"/>
      <w:pgMar w:top="1440" w:right="1440" w:bottom="1440" w:left="144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9D8D5" w14:textId="77777777" w:rsidR="00CF749B" w:rsidRDefault="00CF749B" w:rsidP="007D013F">
      <w:r>
        <w:separator/>
      </w:r>
    </w:p>
  </w:endnote>
  <w:endnote w:type="continuationSeparator" w:id="0">
    <w:p w14:paraId="4C108FA4" w14:textId="77777777" w:rsidR="00CF749B" w:rsidRDefault="00CF749B" w:rsidP="007D0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0D8A1" w14:textId="0F9B9CA4" w:rsidR="006D5AF1" w:rsidRPr="00583454" w:rsidRDefault="002E7B14" w:rsidP="006D5AF1">
    <w:pPr>
      <w:pStyle w:val="Footer"/>
      <w:tabs>
        <w:tab w:val="clear" w:pos="8306"/>
        <w:tab w:val="right" w:pos="9072"/>
      </w:tabs>
      <w:rPr>
        <w:rFonts w:cstheme="minorBidi"/>
        <w:szCs w:val="22"/>
      </w:rPr>
    </w:pPr>
    <w:r w:rsidRPr="00583454">
      <w:rPr>
        <w:szCs w:val="22"/>
      </w:rPr>
      <w:ptab w:relativeTo="margin" w:alignment="center" w:leader="none"/>
    </w:r>
    <w:r w:rsidRPr="00583454">
      <w:rPr>
        <w:rFonts w:cstheme="minorBidi"/>
        <w:szCs w:val="22"/>
      </w:rPr>
      <w:t xml:space="preserve">Page </w:t>
    </w:r>
    <w:r w:rsidRPr="00583454">
      <w:rPr>
        <w:rFonts w:cstheme="minorBidi"/>
        <w:b/>
        <w:bCs/>
        <w:szCs w:val="22"/>
      </w:rPr>
      <w:fldChar w:fldCharType="begin"/>
    </w:r>
    <w:r w:rsidRPr="00583454">
      <w:rPr>
        <w:rFonts w:cstheme="minorBidi"/>
        <w:b/>
        <w:bCs/>
        <w:szCs w:val="22"/>
      </w:rPr>
      <w:instrText xml:space="preserve"> PAGE  \* Arabic  \* MERGEFORMAT </w:instrText>
    </w:r>
    <w:r w:rsidRPr="00583454">
      <w:rPr>
        <w:rFonts w:cstheme="minorBidi"/>
        <w:b/>
        <w:bCs/>
        <w:szCs w:val="22"/>
      </w:rPr>
      <w:fldChar w:fldCharType="separate"/>
    </w:r>
    <w:r>
      <w:rPr>
        <w:rFonts w:cstheme="minorBidi"/>
        <w:b/>
        <w:bCs/>
        <w:noProof/>
        <w:szCs w:val="22"/>
      </w:rPr>
      <w:t>2</w:t>
    </w:r>
    <w:r w:rsidRPr="00583454">
      <w:rPr>
        <w:rFonts w:cstheme="minorBidi"/>
        <w:b/>
        <w:bCs/>
        <w:szCs w:val="22"/>
      </w:rPr>
      <w:fldChar w:fldCharType="end"/>
    </w:r>
    <w:r w:rsidRPr="00583454">
      <w:rPr>
        <w:rFonts w:cstheme="minorBidi"/>
        <w:szCs w:val="22"/>
      </w:rPr>
      <w:t xml:space="preserve"> of </w:t>
    </w:r>
    <w:r w:rsidRPr="00583454">
      <w:rPr>
        <w:rFonts w:cstheme="minorBidi"/>
        <w:b/>
        <w:bCs/>
        <w:szCs w:val="22"/>
      </w:rPr>
      <w:fldChar w:fldCharType="begin"/>
    </w:r>
    <w:r w:rsidRPr="00583454">
      <w:rPr>
        <w:rFonts w:cstheme="minorBidi"/>
        <w:b/>
        <w:bCs/>
        <w:szCs w:val="22"/>
      </w:rPr>
      <w:instrText xml:space="preserve"> NUMPAGES  \* Arabic  \* MERGEFORMAT </w:instrText>
    </w:r>
    <w:r w:rsidRPr="00583454">
      <w:rPr>
        <w:rFonts w:cstheme="minorBidi"/>
        <w:b/>
        <w:bCs/>
        <w:szCs w:val="22"/>
      </w:rPr>
      <w:fldChar w:fldCharType="separate"/>
    </w:r>
    <w:r>
      <w:rPr>
        <w:rFonts w:cstheme="minorBidi"/>
        <w:b/>
        <w:bCs/>
        <w:noProof/>
        <w:szCs w:val="22"/>
      </w:rPr>
      <w:t>2</w:t>
    </w:r>
    <w:r w:rsidRPr="00583454">
      <w:rPr>
        <w:rFonts w:cstheme="minorBidi"/>
        <w:b/>
        <w:bCs/>
        <w:szCs w:val="22"/>
      </w:rPr>
      <w:fldChar w:fldCharType="end"/>
    </w:r>
    <w:r w:rsidRPr="00583454">
      <w:rPr>
        <w:rFonts w:cstheme="minorBidi"/>
        <w:szCs w:val="22"/>
      </w:rPr>
      <w:ptab w:relativeTo="margin" w:alignment="right" w:leader="none"/>
    </w:r>
    <w:r w:rsidRPr="00583454">
      <w:rPr>
        <w:rFonts w:cstheme="minorBidi"/>
        <w:szCs w:val="22"/>
      </w:rPr>
      <w:t xml:space="preserve">Version date: </w:t>
    </w:r>
    <w:r w:rsidR="00307AC8">
      <w:rPr>
        <w:rFonts w:cstheme="minorBidi"/>
        <w:szCs w:val="22"/>
      </w:rPr>
      <w:t>2024-03-20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E9D4F" w14:textId="77777777" w:rsidR="006D5AF1" w:rsidRPr="004520B4" w:rsidRDefault="002E7B14" w:rsidP="006D5AF1">
    <w:pPr>
      <w:pStyle w:val="Footer"/>
      <w:tabs>
        <w:tab w:val="clear" w:pos="8306"/>
        <w:tab w:val="right" w:pos="9072"/>
      </w:tabs>
      <w:rPr>
        <w:rFonts w:cs="Arial"/>
        <w:szCs w:val="22"/>
      </w:rPr>
    </w:pPr>
    <w:r w:rsidRPr="004520B4">
      <w:rPr>
        <w:szCs w:val="22"/>
      </w:rPr>
      <w:ptab w:relativeTo="margin" w:alignment="center" w:leader="none"/>
    </w:r>
    <w:r w:rsidRPr="004520B4">
      <w:rPr>
        <w:rFonts w:cstheme="minorBidi"/>
        <w:szCs w:val="22"/>
      </w:rPr>
      <w:t xml:space="preserve">Page </w:t>
    </w:r>
    <w:r w:rsidRPr="004520B4">
      <w:rPr>
        <w:rFonts w:cstheme="minorBidi"/>
        <w:b/>
        <w:bCs/>
        <w:szCs w:val="22"/>
      </w:rPr>
      <w:fldChar w:fldCharType="begin"/>
    </w:r>
    <w:r w:rsidRPr="004520B4">
      <w:rPr>
        <w:rFonts w:cstheme="minorBidi"/>
        <w:b/>
        <w:bCs/>
        <w:szCs w:val="22"/>
      </w:rPr>
      <w:instrText xml:space="preserve"> PAGE  \* Arabic  \* MERGEFORMAT </w:instrText>
    </w:r>
    <w:r w:rsidRPr="004520B4">
      <w:rPr>
        <w:rFonts w:cstheme="minorBidi"/>
        <w:b/>
        <w:bCs/>
        <w:szCs w:val="22"/>
      </w:rPr>
      <w:fldChar w:fldCharType="separate"/>
    </w:r>
    <w:r>
      <w:rPr>
        <w:rFonts w:cstheme="minorBidi"/>
        <w:b/>
        <w:bCs/>
        <w:noProof/>
        <w:szCs w:val="22"/>
      </w:rPr>
      <w:t>1</w:t>
    </w:r>
    <w:r w:rsidRPr="004520B4">
      <w:rPr>
        <w:rFonts w:cstheme="minorBidi"/>
        <w:b/>
        <w:bCs/>
        <w:szCs w:val="22"/>
      </w:rPr>
      <w:fldChar w:fldCharType="end"/>
    </w:r>
    <w:r w:rsidRPr="004520B4">
      <w:rPr>
        <w:rFonts w:cstheme="minorBidi"/>
        <w:szCs w:val="22"/>
      </w:rPr>
      <w:t xml:space="preserve"> of </w:t>
    </w:r>
    <w:r w:rsidRPr="004520B4">
      <w:rPr>
        <w:rFonts w:cstheme="minorBidi"/>
        <w:b/>
        <w:bCs/>
        <w:szCs w:val="22"/>
      </w:rPr>
      <w:fldChar w:fldCharType="begin"/>
    </w:r>
    <w:r w:rsidRPr="004520B4">
      <w:rPr>
        <w:rFonts w:cstheme="minorBidi"/>
        <w:b/>
        <w:bCs/>
        <w:szCs w:val="22"/>
      </w:rPr>
      <w:instrText xml:space="preserve"> NUMPAGES  \* Arabic  \* MERGEFORMAT </w:instrText>
    </w:r>
    <w:r w:rsidRPr="004520B4">
      <w:rPr>
        <w:rFonts w:cstheme="minorBidi"/>
        <w:b/>
        <w:bCs/>
        <w:szCs w:val="22"/>
      </w:rPr>
      <w:fldChar w:fldCharType="separate"/>
    </w:r>
    <w:r>
      <w:rPr>
        <w:rFonts w:cstheme="minorBidi"/>
        <w:b/>
        <w:bCs/>
        <w:noProof/>
        <w:szCs w:val="22"/>
      </w:rPr>
      <w:t>3</w:t>
    </w:r>
    <w:r w:rsidRPr="004520B4">
      <w:rPr>
        <w:rFonts w:cstheme="minorBidi"/>
        <w:b/>
        <w:bCs/>
        <w:szCs w:val="22"/>
      </w:rPr>
      <w:fldChar w:fldCharType="end"/>
    </w:r>
    <w:r w:rsidRPr="004520B4">
      <w:rPr>
        <w:rFonts w:cstheme="minorBidi"/>
        <w:szCs w:val="22"/>
      </w:rPr>
      <w:ptab w:relativeTo="margin" w:alignment="right" w:leader="none"/>
    </w:r>
    <w:r w:rsidRPr="004520B4">
      <w:rPr>
        <w:rFonts w:cstheme="minorBidi"/>
        <w:szCs w:val="22"/>
      </w:rPr>
      <w:t>Version date: YYYY-MM-DD</w:t>
    </w:r>
  </w:p>
  <w:p w14:paraId="4665C23B" w14:textId="77777777" w:rsidR="006D5AF1" w:rsidRDefault="006D5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975B8" w14:textId="77777777" w:rsidR="00CF749B" w:rsidRDefault="00CF749B" w:rsidP="007D013F">
      <w:r>
        <w:separator/>
      </w:r>
    </w:p>
  </w:footnote>
  <w:footnote w:type="continuationSeparator" w:id="0">
    <w:p w14:paraId="45A7A3BB" w14:textId="77777777" w:rsidR="00CF749B" w:rsidRDefault="00CF749B" w:rsidP="007D0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13938"/>
    <w:multiLevelType w:val="hybridMultilevel"/>
    <w:tmpl w:val="9A2C21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599564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3F"/>
    <w:rsid w:val="0001590C"/>
    <w:rsid w:val="00030FBB"/>
    <w:rsid w:val="000B50EC"/>
    <w:rsid w:val="000E0B57"/>
    <w:rsid w:val="000E29D3"/>
    <w:rsid w:val="00100E34"/>
    <w:rsid w:val="00112049"/>
    <w:rsid w:val="00116FE7"/>
    <w:rsid w:val="00120BBB"/>
    <w:rsid w:val="0012162B"/>
    <w:rsid w:val="00147C23"/>
    <w:rsid w:val="00154732"/>
    <w:rsid w:val="00157789"/>
    <w:rsid w:val="001658C9"/>
    <w:rsid w:val="001C437F"/>
    <w:rsid w:val="001C6154"/>
    <w:rsid w:val="0020206A"/>
    <w:rsid w:val="00242861"/>
    <w:rsid w:val="0024730B"/>
    <w:rsid w:val="002A5048"/>
    <w:rsid w:val="002E2C03"/>
    <w:rsid w:val="002E7B14"/>
    <w:rsid w:val="00307AC8"/>
    <w:rsid w:val="003462CC"/>
    <w:rsid w:val="00365089"/>
    <w:rsid w:val="00395AF6"/>
    <w:rsid w:val="003A4FC4"/>
    <w:rsid w:val="003A51C3"/>
    <w:rsid w:val="003C6D95"/>
    <w:rsid w:val="003D7D09"/>
    <w:rsid w:val="00402A48"/>
    <w:rsid w:val="00466AD7"/>
    <w:rsid w:val="004B1E10"/>
    <w:rsid w:val="004E2B50"/>
    <w:rsid w:val="0058109E"/>
    <w:rsid w:val="005B05B4"/>
    <w:rsid w:val="005B3F2D"/>
    <w:rsid w:val="005E2AC6"/>
    <w:rsid w:val="005E2E92"/>
    <w:rsid w:val="00625C8F"/>
    <w:rsid w:val="00670309"/>
    <w:rsid w:val="006860CF"/>
    <w:rsid w:val="006C205F"/>
    <w:rsid w:val="006D5AF1"/>
    <w:rsid w:val="00700F7B"/>
    <w:rsid w:val="00751C53"/>
    <w:rsid w:val="007753AC"/>
    <w:rsid w:val="00777BC7"/>
    <w:rsid w:val="007953F4"/>
    <w:rsid w:val="007D013F"/>
    <w:rsid w:val="007F13F1"/>
    <w:rsid w:val="00867083"/>
    <w:rsid w:val="0087224D"/>
    <w:rsid w:val="008C21C8"/>
    <w:rsid w:val="008E2A3C"/>
    <w:rsid w:val="00930E30"/>
    <w:rsid w:val="009865A5"/>
    <w:rsid w:val="009B27F2"/>
    <w:rsid w:val="009B51AE"/>
    <w:rsid w:val="00A207C8"/>
    <w:rsid w:val="00A25B1F"/>
    <w:rsid w:val="00A62431"/>
    <w:rsid w:val="00A7504C"/>
    <w:rsid w:val="00A90CD0"/>
    <w:rsid w:val="00AA3B12"/>
    <w:rsid w:val="00AF34D8"/>
    <w:rsid w:val="00B038D5"/>
    <w:rsid w:val="00B4307E"/>
    <w:rsid w:val="00B44EF1"/>
    <w:rsid w:val="00C024D0"/>
    <w:rsid w:val="00C3071F"/>
    <w:rsid w:val="00C319DC"/>
    <w:rsid w:val="00C6739C"/>
    <w:rsid w:val="00CC2EA9"/>
    <w:rsid w:val="00CF31BE"/>
    <w:rsid w:val="00CF749B"/>
    <w:rsid w:val="00CF7FAF"/>
    <w:rsid w:val="00D108C5"/>
    <w:rsid w:val="00D20AE4"/>
    <w:rsid w:val="00D74343"/>
    <w:rsid w:val="00D80319"/>
    <w:rsid w:val="00D8353F"/>
    <w:rsid w:val="00D95F8B"/>
    <w:rsid w:val="00DA404C"/>
    <w:rsid w:val="00DC47FD"/>
    <w:rsid w:val="00DE4071"/>
    <w:rsid w:val="00DF39D1"/>
    <w:rsid w:val="00E068A8"/>
    <w:rsid w:val="00E12621"/>
    <w:rsid w:val="00E24636"/>
    <w:rsid w:val="00E32B62"/>
    <w:rsid w:val="00E5408C"/>
    <w:rsid w:val="00EE6FB4"/>
    <w:rsid w:val="00EF25A5"/>
    <w:rsid w:val="00F029EF"/>
    <w:rsid w:val="00F2016A"/>
    <w:rsid w:val="00F2019C"/>
    <w:rsid w:val="00F43997"/>
    <w:rsid w:val="00F54CE0"/>
    <w:rsid w:val="00F75825"/>
    <w:rsid w:val="00FB2E1C"/>
    <w:rsid w:val="00FD258E"/>
    <w:rsid w:val="00FD3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8E52A"/>
  <w15:chartTrackingRefBased/>
  <w15:docId w15:val="{18D04029-C246-44AD-B40C-45F4F595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13F"/>
    <w:pPr>
      <w:spacing w:after="0" w:line="240" w:lineRule="auto"/>
      <w:ind w:left="567"/>
    </w:pPr>
    <w:rPr>
      <w:rFonts w:eastAsia="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013F"/>
    <w:pPr>
      <w:tabs>
        <w:tab w:val="center" w:pos="4153"/>
        <w:tab w:val="right" w:pos="8306"/>
      </w:tabs>
    </w:pPr>
  </w:style>
  <w:style w:type="character" w:customStyle="1" w:styleId="FooterChar">
    <w:name w:val="Footer Char"/>
    <w:basedOn w:val="DefaultParagraphFont"/>
    <w:link w:val="Footer"/>
    <w:uiPriority w:val="99"/>
    <w:rsid w:val="007D013F"/>
    <w:rPr>
      <w:rFonts w:eastAsia="Times New Roman" w:cs="Times New Roman"/>
      <w:szCs w:val="24"/>
      <w:lang w:eastAsia="en-GB"/>
    </w:rPr>
  </w:style>
  <w:style w:type="paragraph" w:styleId="Header">
    <w:name w:val="header"/>
    <w:basedOn w:val="Normal"/>
    <w:link w:val="HeaderChar"/>
    <w:uiPriority w:val="99"/>
    <w:unhideWhenUsed/>
    <w:rsid w:val="007D013F"/>
    <w:pPr>
      <w:tabs>
        <w:tab w:val="center" w:pos="4513"/>
        <w:tab w:val="right" w:pos="9026"/>
      </w:tabs>
    </w:pPr>
  </w:style>
  <w:style w:type="character" w:customStyle="1" w:styleId="HeaderChar">
    <w:name w:val="Header Char"/>
    <w:basedOn w:val="DefaultParagraphFont"/>
    <w:link w:val="Header"/>
    <w:uiPriority w:val="99"/>
    <w:rsid w:val="007D013F"/>
    <w:rPr>
      <w:rFonts w:eastAsia="Times New Roman" w:cs="Times New Roman"/>
      <w:szCs w:val="24"/>
      <w:lang w:eastAsia="en-GB"/>
    </w:rPr>
  </w:style>
  <w:style w:type="character" w:styleId="PlaceholderText">
    <w:name w:val="Placeholder Text"/>
    <w:basedOn w:val="DefaultParagraphFont"/>
    <w:uiPriority w:val="99"/>
    <w:semiHidden/>
    <w:rsid w:val="007D013F"/>
    <w:rPr>
      <w:rFonts w:ascii="Calibri" w:hAnsi="Calibri"/>
      <w:color w:val="808080"/>
      <w:sz w:val="22"/>
    </w:rPr>
  </w:style>
  <w:style w:type="character" w:customStyle="1" w:styleId="HeaderLJ">
    <w:name w:val="Header_LJ"/>
    <w:basedOn w:val="DefaultParagraphFont"/>
    <w:uiPriority w:val="1"/>
    <w:rsid w:val="007D013F"/>
    <w:rPr>
      <w:rFonts w:ascii="Arial" w:hAnsi="Arial"/>
      <w:b/>
      <w:sz w:val="24"/>
    </w:rPr>
  </w:style>
  <w:style w:type="table" w:styleId="TableGrid">
    <w:name w:val="Table Grid"/>
    <w:basedOn w:val="TableNormal"/>
    <w:uiPriority w:val="39"/>
    <w:rsid w:val="007D0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2AC6"/>
    <w:rPr>
      <w:color w:val="0000FF"/>
      <w:u w:val="single"/>
    </w:rPr>
  </w:style>
  <w:style w:type="character" w:styleId="FollowedHyperlink">
    <w:name w:val="FollowedHyperlink"/>
    <w:basedOn w:val="DefaultParagraphFont"/>
    <w:uiPriority w:val="99"/>
    <w:semiHidden/>
    <w:unhideWhenUsed/>
    <w:rsid w:val="00F43997"/>
    <w:rPr>
      <w:color w:val="954F72" w:themeColor="followedHyperlink"/>
      <w:u w:val="single"/>
    </w:rPr>
  </w:style>
  <w:style w:type="character" w:styleId="CommentReference">
    <w:name w:val="annotation reference"/>
    <w:basedOn w:val="DefaultParagraphFont"/>
    <w:uiPriority w:val="99"/>
    <w:semiHidden/>
    <w:unhideWhenUsed/>
    <w:rsid w:val="0058109E"/>
    <w:rPr>
      <w:sz w:val="16"/>
      <w:szCs w:val="16"/>
    </w:rPr>
  </w:style>
  <w:style w:type="paragraph" w:styleId="CommentText">
    <w:name w:val="annotation text"/>
    <w:basedOn w:val="Normal"/>
    <w:link w:val="CommentTextChar"/>
    <w:uiPriority w:val="99"/>
    <w:unhideWhenUsed/>
    <w:rsid w:val="0058109E"/>
    <w:rPr>
      <w:sz w:val="20"/>
      <w:szCs w:val="20"/>
    </w:rPr>
  </w:style>
  <w:style w:type="character" w:customStyle="1" w:styleId="CommentTextChar">
    <w:name w:val="Comment Text Char"/>
    <w:basedOn w:val="DefaultParagraphFont"/>
    <w:link w:val="CommentText"/>
    <w:uiPriority w:val="99"/>
    <w:rsid w:val="0058109E"/>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8109E"/>
    <w:rPr>
      <w:b/>
      <w:bCs/>
    </w:rPr>
  </w:style>
  <w:style w:type="character" w:customStyle="1" w:styleId="CommentSubjectChar">
    <w:name w:val="Comment Subject Char"/>
    <w:basedOn w:val="CommentTextChar"/>
    <w:link w:val="CommentSubject"/>
    <w:uiPriority w:val="99"/>
    <w:semiHidden/>
    <w:rsid w:val="0058109E"/>
    <w:rPr>
      <w:rFonts w:eastAsia="Times New Roman" w:cs="Times New Roman"/>
      <w:b/>
      <w:bCs/>
      <w:sz w:val="20"/>
      <w:szCs w:val="20"/>
      <w:lang w:eastAsia="en-GB"/>
    </w:rPr>
  </w:style>
  <w:style w:type="paragraph" w:styleId="BalloonText">
    <w:name w:val="Balloon Text"/>
    <w:basedOn w:val="Normal"/>
    <w:link w:val="BalloonTextChar"/>
    <w:uiPriority w:val="99"/>
    <w:semiHidden/>
    <w:unhideWhenUsed/>
    <w:rsid w:val="005810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09E"/>
    <w:rPr>
      <w:rFonts w:ascii="Segoe UI" w:eastAsia="Times New Roman" w:hAnsi="Segoe UI" w:cs="Segoe UI"/>
      <w:sz w:val="18"/>
      <w:szCs w:val="18"/>
      <w:lang w:eastAsia="en-GB"/>
    </w:rPr>
  </w:style>
  <w:style w:type="character" w:customStyle="1" w:styleId="ui-provider">
    <w:name w:val="ui-provider"/>
    <w:basedOn w:val="DefaultParagraphFont"/>
    <w:rsid w:val="00A7504C"/>
  </w:style>
  <w:style w:type="paragraph" w:styleId="ListParagraph">
    <w:name w:val="List Paragraph"/>
    <w:basedOn w:val="Normal"/>
    <w:uiPriority w:val="34"/>
    <w:qFormat/>
    <w:rsid w:val="00B038D5"/>
    <w:pPr>
      <w:ind w:left="720"/>
    </w:pPr>
    <w:rPr>
      <w:rFonts w:ascii="Calibri" w:eastAsiaTheme="minorHAnsi" w:hAnsi="Calibri" w:cs="Calibri"/>
      <w:szCs w:val="22"/>
      <w:lang w:eastAsia="en-US"/>
    </w:rPr>
  </w:style>
  <w:style w:type="character" w:styleId="UnresolvedMention">
    <w:name w:val="Unresolved Mention"/>
    <w:basedOn w:val="DefaultParagraphFont"/>
    <w:uiPriority w:val="99"/>
    <w:semiHidden/>
    <w:unhideWhenUsed/>
    <w:rsid w:val="00307AC8"/>
    <w:rPr>
      <w:color w:val="605E5C"/>
      <w:shd w:val="clear" w:color="auto" w:fill="E1DFDD"/>
    </w:rPr>
  </w:style>
  <w:style w:type="paragraph" w:styleId="Revision">
    <w:name w:val="Revision"/>
    <w:hidden/>
    <w:uiPriority w:val="99"/>
    <w:semiHidden/>
    <w:rsid w:val="00FD258E"/>
    <w:pPr>
      <w:spacing w:after="0" w:line="240" w:lineRule="auto"/>
    </w:pPr>
    <w:rPr>
      <w:rFonts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476620">
      <w:bodyDiv w:val="1"/>
      <w:marLeft w:val="0"/>
      <w:marRight w:val="0"/>
      <w:marTop w:val="0"/>
      <w:marBottom w:val="0"/>
      <w:divBdr>
        <w:top w:val="none" w:sz="0" w:space="0" w:color="auto"/>
        <w:left w:val="none" w:sz="0" w:space="0" w:color="auto"/>
        <w:bottom w:val="none" w:sz="0" w:space="0" w:color="auto"/>
        <w:right w:val="none" w:sz="0" w:space="0" w:color="auto"/>
      </w:divBdr>
    </w:div>
    <w:div w:id="708913733">
      <w:bodyDiv w:val="1"/>
      <w:marLeft w:val="0"/>
      <w:marRight w:val="0"/>
      <w:marTop w:val="0"/>
      <w:marBottom w:val="0"/>
      <w:divBdr>
        <w:top w:val="none" w:sz="0" w:space="0" w:color="auto"/>
        <w:left w:val="none" w:sz="0" w:space="0" w:color="auto"/>
        <w:bottom w:val="none" w:sz="0" w:space="0" w:color="auto"/>
        <w:right w:val="none" w:sz="0" w:space="0" w:color="auto"/>
      </w:divBdr>
    </w:div>
    <w:div w:id="761993119">
      <w:bodyDiv w:val="1"/>
      <w:marLeft w:val="0"/>
      <w:marRight w:val="0"/>
      <w:marTop w:val="0"/>
      <w:marBottom w:val="0"/>
      <w:divBdr>
        <w:top w:val="none" w:sz="0" w:space="0" w:color="auto"/>
        <w:left w:val="none" w:sz="0" w:space="0" w:color="auto"/>
        <w:bottom w:val="none" w:sz="0" w:space="0" w:color="auto"/>
        <w:right w:val="none" w:sz="0" w:space="0" w:color="auto"/>
      </w:divBdr>
    </w:div>
    <w:div w:id="128649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ull.ac.uk/choose-hull/university-and-region/key-documents/docs/inclusive-assessment-marking-and-feedback-policy.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pis.officeforstudents.org.uk/accessplansdownloads/2024/UniversityofHull_APP_2020-21_V1_10007149.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ull.ac.uk/choose-hull/tef-gold-teachin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dir.hull.ac.uk\Shared\Strategic%20Development%20Unit\Projects\Degree%20Outcomes%20Statement%20(DoS)\2023%20-%20DoS%20Update\Main%20Table%20&amp;%20Chart%20(to%2022_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Arial" panose="020B0604020202020204" pitchFamily="34" charset="0"/>
              </a:defRPr>
            </a:pPr>
            <a:r>
              <a:rPr lang="en-GB" sz="1100" b="1"/>
              <a:t>Degree classification - Level 6 &amp; 7</a:t>
            </a:r>
          </a:p>
        </c:rich>
      </c:tx>
      <c:layout>
        <c:manualLayout>
          <c:xMode val="edge"/>
          <c:yMode val="edge"/>
          <c:x val="0.30371948433466112"/>
          <c:y val="2.5538164292386315E-2"/>
        </c:manualLayout>
      </c:layout>
      <c:overlay val="0"/>
      <c:spPr>
        <a:solidFill>
          <a:schemeClr val="bg1"/>
        </a:solid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Arial" panose="020B0604020202020204" pitchFamily="34" charset="0"/>
            </a:defRPr>
          </a:pPr>
          <a:endParaRPr lang="en-US"/>
        </a:p>
      </c:txPr>
    </c:title>
    <c:autoTitleDeleted val="0"/>
    <c:plotArea>
      <c:layout>
        <c:manualLayout>
          <c:layoutTarget val="inner"/>
          <c:xMode val="edge"/>
          <c:yMode val="edge"/>
          <c:x val="6.9754500638635045E-2"/>
          <c:y val="3.6551946908855992E-2"/>
          <c:w val="0.90141561050948071"/>
          <c:h val="0.73232001555361137"/>
        </c:manualLayout>
      </c:layout>
      <c:barChart>
        <c:barDir val="col"/>
        <c:grouping val="clustered"/>
        <c:varyColors val="0"/>
        <c:ser>
          <c:idx val="0"/>
          <c:order val="2"/>
          <c:tx>
            <c:strRef>
              <c:f>'Main Table Level 6&amp;7 (total)'!$C$11</c:f>
              <c:strCache>
                <c:ptCount val="1"/>
                <c:pt idx="0">
                  <c:v>3/PASS</c:v>
                </c:pt>
              </c:strCache>
            </c:strRef>
          </c:tx>
          <c:spPr>
            <a:solidFill>
              <a:schemeClr val="accent6"/>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ysClr val="windowText" lastClr="000000"/>
                    </a:solidFill>
                    <a:latin typeface="+mn-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'Main Table Level 6&amp;7 (total)'!$D$7:$H$7</c:f>
              <c:strCache>
                <c:ptCount val="5"/>
                <c:pt idx="0">
                  <c:v>2018/19</c:v>
                </c:pt>
                <c:pt idx="1">
                  <c:v>2019/20</c:v>
                </c:pt>
                <c:pt idx="2">
                  <c:v>2020/21</c:v>
                </c:pt>
                <c:pt idx="3">
                  <c:v>2021/22</c:v>
                </c:pt>
                <c:pt idx="4">
                  <c:v>2022/23</c:v>
                </c:pt>
              </c:strCache>
            </c:strRef>
          </c:cat>
          <c:val>
            <c:numRef>
              <c:f>'Main Table Level 6&amp;7 (total)'!$D$11:$H$11</c:f>
              <c:numCache>
                <c:formatCode>0.0%</c:formatCode>
                <c:ptCount val="5"/>
                <c:pt idx="0">
                  <c:v>3.4948604992657853E-2</c:v>
                </c:pt>
                <c:pt idx="1">
                  <c:v>2.4730869944719232E-2</c:v>
                </c:pt>
                <c:pt idx="2">
                  <c:v>2.744310575635877E-2</c:v>
                </c:pt>
                <c:pt idx="3">
                  <c:v>3.1656700668308127E-2</c:v>
                </c:pt>
                <c:pt idx="4">
                  <c:v>3.9144617615077926E-2</c:v>
                </c:pt>
              </c:numCache>
            </c:numRef>
          </c:val>
          <c:extLst>
            <c:ext xmlns:c16="http://schemas.microsoft.com/office/drawing/2014/chart" uri="{C3380CC4-5D6E-409C-BE32-E72D297353CC}">
              <c16:uniqueId val="{00000000-F156-4336-973E-E18A1C22EB4B}"/>
            </c:ext>
          </c:extLst>
        </c:ser>
        <c:ser>
          <c:idx val="1"/>
          <c:order val="3"/>
          <c:tx>
            <c:strRef>
              <c:f>'Main Table Level 6&amp;7 (total)'!$C$10</c:f>
              <c:strCache>
                <c:ptCount val="1"/>
                <c:pt idx="0">
                  <c:v>2:2</c:v>
                </c:pt>
              </c:strCache>
            </c:strRef>
          </c:tx>
          <c:spPr>
            <a:solidFill>
              <a:schemeClr val="accent5"/>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bg1"/>
                    </a:solidFill>
                    <a:latin typeface="+mn-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'Main Table Level 6&amp;7 (total)'!$D$7:$H$7</c:f>
              <c:strCache>
                <c:ptCount val="5"/>
                <c:pt idx="0">
                  <c:v>2018/19</c:v>
                </c:pt>
                <c:pt idx="1">
                  <c:v>2019/20</c:v>
                </c:pt>
                <c:pt idx="2">
                  <c:v>2020/21</c:v>
                </c:pt>
                <c:pt idx="3">
                  <c:v>2021/22</c:v>
                </c:pt>
                <c:pt idx="4">
                  <c:v>2022/23</c:v>
                </c:pt>
              </c:strCache>
            </c:strRef>
          </c:cat>
          <c:val>
            <c:numRef>
              <c:f>'Main Table Level 6&amp;7 (total)'!$D$10:$H$10</c:f>
              <c:numCache>
                <c:formatCode>0.0%</c:formatCode>
                <c:ptCount val="5"/>
                <c:pt idx="0">
                  <c:v>0.22819383259911893</c:v>
                </c:pt>
                <c:pt idx="1">
                  <c:v>0.1690427698574338</c:v>
                </c:pt>
                <c:pt idx="2">
                  <c:v>0.1606425702811245</c:v>
                </c:pt>
                <c:pt idx="3">
                  <c:v>0.21104467112205416</c:v>
                </c:pt>
                <c:pt idx="4">
                  <c:v>0.24030445813700615</c:v>
                </c:pt>
              </c:numCache>
            </c:numRef>
          </c:val>
          <c:extLst>
            <c:ext xmlns:c16="http://schemas.microsoft.com/office/drawing/2014/chart" uri="{C3380CC4-5D6E-409C-BE32-E72D297353CC}">
              <c16:uniqueId val="{00000001-F156-4336-973E-E18A1C22EB4B}"/>
            </c:ext>
          </c:extLst>
        </c:ser>
        <c:ser>
          <c:idx val="2"/>
          <c:order val="4"/>
          <c:tx>
            <c:strRef>
              <c:f>'Main Table Level 6&amp;7 (total)'!$C$9</c:f>
              <c:strCache>
                <c:ptCount val="1"/>
                <c:pt idx="0">
                  <c:v>2:1</c:v>
                </c:pt>
              </c:strCache>
            </c:strRef>
          </c:tx>
          <c:spPr>
            <a:solidFill>
              <a:schemeClr val="accent4"/>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ysClr val="windowText" lastClr="000000"/>
                    </a:solidFill>
                    <a:latin typeface="+mn-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'Main Table Level 6&amp;7 (total)'!$D$7:$H$7</c:f>
              <c:strCache>
                <c:ptCount val="5"/>
                <c:pt idx="0">
                  <c:v>2018/19</c:v>
                </c:pt>
                <c:pt idx="1">
                  <c:v>2019/20</c:v>
                </c:pt>
                <c:pt idx="2">
                  <c:v>2020/21</c:v>
                </c:pt>
                <c:pt idx="3">
                  <c:v>2021/22</c:v>
                </c:pt>
                <c:pt idx="4">
                  <c:v>2022/23</c:v>
                </c:pt>
              </c:strCache>
            </c:strRef>
          </c:cat>
          <c:val>
            <c:numRef>
              <c:f>'Main Table Level 6&amp;7 (total)'!$D$9:$H$9</c:f>
              <c:numCache>
                <c:formatCode>0.0%</c:formatCode>
                <c:ptCount val="5"/>
                <c:pt idx="0">
                  <c:v>0.48487518355359766</c:v>
                </c:pt>
                <c:pt idx="1">
                  <c:v>0.47105033459412277</c:v>
                </c:pt>
                <c:pt idx="2">
                  <c:v>0.44076305220883533</c:v>
                </c:pt>
                <c:pt idx="3">
                  <c:v>0.45058037284558566</c:v>
                </c:pt>
                <c:pt idx="4">
                  <c:v>0.43530264588619066</c:v>
                </c:pt>
              </c:numCache>
            </c:numRef>
          </c:val>
          <c:extLst>
            <c:ext xmlns:c16="http://schemas.microsoft.com/office/drawing/2014/chart" uri="{C3380CC4-5D6E-409C-BE32-E72D297353CC}">
              <c16:uniqueId val="{00000002-F156-4336-973E-E18A1C22EB4B}"/>
            </c:ext>
          </c:extLst>
        </c:ser>
        <c:ser>
          <c:idx val="3"/>
          <c:order val="5"/>
          <c:tx>
            <c:strRef>
              <c:f>'Main Table Level 6&amp;7 (total)'!$C$8</c:f>
              <c:strCache>
                <c:ptCount val="1"/>
                <c:pt idx="0">
                  <c:v>1st</c:v>
                </c:pt>
              </c:strCache>
            </c:strRef>
          </c:tx>
          <c:spPr>
            <a:solidFill>
              <a:schemeClr val="accent6">
                <a:lumMod val="60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bg1"/>
                    </a:solidFill>
                    <a:latin typeface="+mn-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'Main Table Level 6&amp;7 (total)'!$D$7:$H$7</c:f>
              <c:strCache>
                <c:ptCount val="5"/>
                <c:pt idx="0">
                  <c:v>2018/19</c:v>
                </c:pt>
                <c:pt idx="1">
                  <c:v>2019/20</c:v>
                </c:pt>
                <c:pt idx="2">
                  <c:v>2020/21</c:v>
                </c:pt>
                <c:pt idx="3">
                  <c:v>2021/22</c:v>
                </c:pt>
                <c:pt idx="4">
                  <c:v>2022/23</c:v>
                </c:pt>
              </c:strCache>
            </c:strRef>
          </c:cat>
          <c:val>
            <c:numRef>
              <c:f>'Main Table Level 6&amp;7 (total)'!$D$8:$H$8</c:f>
              <c:numCache>
                <c:formatCode>0.0%</c:formatCode>
                <c:ptCount val="5"/>
                <c:pt idx="0">
                  <c:v>0.25198237885462554</c:v>
                </c:pt>
                <c:pt idx="1">
                  <c:v>0.33517602560372417</c:v>
                </c:pt>
                <c:pt idx="2">
                  <c:v>0.3711512717536814</c:v>
                </c:pt>
                <c:pt idx="3">
                  <c:v>0.30671825536405206</c:v>
                </c:pt>
                <c:pt idx="4">
                  <c:v>0.28524827836172528</c:v>
                </c:pt>
              </c:numCache>
            </c:numRef>
          </c:val>
          <c:extLst>
            <c:ext xmlns:c16="http://schemas.microsoft.com/office/drawing/2014/chart" uri="{C3380CC4-5D6E-409C-BE32-E72D297353CC}">
              <c16:uniqueId val="{00000003-F156-4336-973E-E18A1C22EB4B}"/>
            </c:ext>
          </c:extLst>
        </c:ser>
        <c:dLbls>
          <c:showLegendKey val="0"/>
          <c:showVal val="0"/>
          <c:showCatName val="0"/>
          <c:showSerName val="0"/>
          <c:showPercent val="0"/>
          <c:showBubbleSize val="0"/>
        </c:dLbls>
        <c:gapWidth val="219"/>
        <c:overlap val="-27"/>
        <c:axId val="505119760"/>
        <c:axId val="505121728"/>
      </c:barChart>
      <c:lineChart>
        <c:grouping val="standard"/>
        <c:varyColors val="0"/>
        <c:ser>
          <c:idx val="4"/>
          <c:order val="0"/>
          <c:tx>
            <c:v>UoH 1st &amp; 2:1</c:v>
          </c:tx>
          <c:spPr>
            <a:ln w="28575" cap="rnd">
              <a:solidFill>
                <a:schemeClr val="accent5">
                  <a:lumMod val="60000"/>
                </a:schemeClr>
              </a:solidFill>
              <a:round/>
            </a:ln>
            <a:effectLst/>
          </c:spPr>
          <c:marker>
            <c:symbol val="diamond"/>
            <c:size val="7"/>
            <c:spPr>
              <a:solidFill>
                <a:schemeClr val="accent5">
                  <a:lumMod val="60000"/>
                </a:schemeClr>
              </a:solidFill>
              <a:ln w="9525">
                <a:solidFill>
                  <a:schemeClr val="accent5">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5">
                        <a:lumMod val="50000"/>
                      </a:schemeClr>
                    </a:solidFill>
                    <a:latin typeface="+mn-lt"/>
                    <a:ea typeface="+mn-ea"/>
                    <a:cs typeface="Arial" panose="020B0604020202020204" pitchFamily="34"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'Main Table Level 6&amp;7 (total)'!$D$7:$H$7</c:f>
              <c:strCache>
                <c:ptCount val="5"/>
                <c:pt idx="0">
                  <c:v>2018/19</c:v>
                </c:pt>
                <c:pt idx="1">
                  <c:v>2019/20</c:v>
                </c:pt>
                <c:pt idx="2">
                  <c:v>2020/21</c:v>
                </c:pt>
                <c:pt idx="3">
                  <c:v>2021/22</c:v>
                </c:pt>
                <c:pt idx="4">
                  <c:v>2022/23</c:v>
                </c:pt>
              </c:strCache>
            </c:strRef>
          </c:cat>
          <c:val>
            <c:numRef>
              <c:f>'Main Table Level 6&amp;7 (total)'!$D$12:$H$12</c:f>
              <c:numCache>
                <c:formatCode>0.0%</c:formatCode>
                <c:ptCount val="5"/>
                <c:pt idx="0">
                  <c:v>0.7368575624082232</c:v>
                </c:pt>
                <c:pt idx="1">
                  <c:v>0.80622636019784699</c:v>
                </c:pt>
                <c:pt idx="2">
                  <c:v>0.81191432396251673</c:v>
                </c:pt>
                <c:pt idx="3">
                  <c:v>0.75729862820963767</c:v>
                </c:pt>
                <c:pt idx="4">
                  <c:v>0.720550924247916</c:v>
                </c:pt>
              </c:numCache>
            </c:numRef>
          </c:val>
          <c:smooth val="0"/>
          <c:extLst>
            <c:ext xmlns:c16="http://schemas.microsoft.com/office/drawing/2014/chart" uri="{C3380CC4-5D6E-409C-BE32-E72D297353CC}">
              <c16:uniqueId val="{00000004-F156-4336-973E-E18A1C22EB4B}"/>
            </c:ext>
          </c:extLst>
        </c:ser>
        <c:ser>
          <c:idx val="5"/>
          <c:order val="1"/>
          <c:tx>
            <c:v>Sector</c:v>
          </c:tx>
          <c:spPr>
            <a:ln w="28575" cap="rnd">
              <a:solidFill>
                <a:schemeClr val="accent4">
                  <a:lumMod val="60000"/>
                </a:schemeClr>
              </a:solidFill>
              <a:prstDash val="sysDot"/>
              <a:round/>
            </a:ln>
            <a:effectLst/>
          </c:spPr>
          <c:marker>
            <c:symbol val="circle"/>
            <c:size val="6"/>
            <c:spPr>
              <a:solidFill>
                <a:schemeClr val="accent4">
                  <a:lumMod val="60000"/>
                </a:schemeClr>
              </a:solidFill>
              <a:ln w="9525">
                <a:solidFill>
                  <a:schemeClr val="accent4">
                    <a:lumMod val="60000"/>
                  </a:schemeClr>
                </a:solidFill>
              </a:ln>
              <a:effectLst/>
            </c:spPr>
          </c:marker>
          <c:dLbls>
            <c:dLbl>
              <c:idx val="1"/>
              <c:layout>
                <c:manualLayout>
                  <c:x val="-4.8231920458144985E-2"/>
                  <c:y val="-4.50722583898934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156-4336-973E-E18A1C22EB4B}"/>
                </c:ext>
              </c:extLst>
            </c:dLbl>
            <c:dLbl>
              <c:idx val="2"/>
              <c:layout>
                <c:manualLayout>
                  <c:x val="-4.8231920458145026E-2"/>
                  <c:y val="-4.50722583898934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156-4336-973E-E18A1C22EB4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4">
                        <a:lumMod val="50000"/>
                      </a:schemeClr>
                    </a:solidFill>
                    <a:latin typeface="+mn-lt"/>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'Main Table Level 6&amp;7 (total)'!$D$7:$H$7</c:f>
              <c:strCache>
                <c:ptCount val="5"/>
                <c:pt idx="0">
                  <c:v>2018/19</c:v>
                </c:pt>
                <c:pt idx="1">
                  <c:v>2019/20</c:v>
                </c:pt>
                <c:pt idx="2">
                  <c:v>2020/21</c:v>
                </c:pt>
                <c:pt idx="3">
                  <c:v>2021/22</c:v>
                </c:pt>
                <c:pt idx="4">
                  <c:v>2022/23</c:v>
                </c:pt>
              </c:strCache>
            </c:strRef>
          </c:cat>
          <c:val>
            <c:numRef>
              <c:f>'Main Table Level 6&amp;7 (total)'!$D$22:$H$22</c:f>
              <c:numCache>
                <c:formatCode>0.0%</c:formatCode>
                <c:ptCount val="5"/>
                <c:pt idx="0">
                  <c:v>0.76726915862309175</c:v>
                </c:pt>
                <c:pt idx="1">
                  <c:v>0.82168074906404986</c:v>
                </c:pt>
                <c:pt idx="2">
                  <c:v>0.82734736371718243</c:v>
                </c:pt>
                <c:pt idx="3">
                  <c:v>0.78684386404396001</c:v>
                </c:pt>
                <c:pt idx="4">
                  <c:v>0.77099999999999991</c:v>
                </c:pt>
              </c:numCache>
            </c:numRef>
          </c:val>
          <c:smooth val="0"/>
          <c:extLst>
            <c:ext xmlns:c16="http://schemas.microsoft.com/office/drawing/2014/chart" uri="{C3380CC4-5D6E-409C-BE32-E72D297353CC}">
              <c16:uniqueId val="{00000005-F156-4336-973E-E18A1C22EB4B}"/>
            </c:ext>
          </c:extLst>
        </c:ser>
        <c:dLbls>
          <c:showLegendKey val="0"/>
          <c:showVal val="0"/>
          <c:showCatName val="0"/>
          <c:showSerName val="0"/>
          <c:showPercent val="0"/>
          <c:showBubbleSize val="0"/>
        </c:dLbls>
        <c:marker val="1"/>
        <c:smooth val="0"/>
        <c:axId val="505119760"/>
        <c:axId val="505121728"/>
      </c:lineChart>
      <c:catAx>
        <c:axId val="50511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Arial" panose="020B0604020202020204" pitchFamily="34" charset="0"/>
              </a:defRPr>
            </a:pPr>
            <a:endParaRPr lang="en-US"/>
          </a:p>
        </c:txPr>
        <c:crossAx val="505121728"/>
        <c:crosses val="autoZero"/>
        <c:auto val="1"/>
        <c:lblAlgn val="ctr"/>
        <c:lblOffset val="100"/>
        <c:noMultiLvlLbl val="0"/>
      </c:catAx>
      <c:valAx>
        <c:axId val="505121728"/>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Arial" panose="020B0604020202020204" pitchFamily="34" charset="0"/>
                  </a:defRPr>
                </a:pPr>
                <a:r>
                  <a:rPr lang="en-GB"/>
                  <a:t>%of</a:t>
                </a:r>
                <a:r>
                  <a:rPr lang="en-GB" baseline="0"/>
                  <a:t> Awards</a:t>
                </a:r>
                <a:endParaRPr lang="en-GB"/>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Arial" panose="020B0604020202020204" pitchFamily="34" charset="0"/>
                </a:defRPr>
              </a:pPr>
              <a:endParaRPr lang="en-GB"/>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Arial" panose="020B0604020202020204" pitchFamily="34" charset="0"/>
              </a:defRPr>
            </a:pPr>
            <a:endParaRPr lang="en-US"/>
          </a:p>
        </c:txPr>
        <c:crossAx val="505119760"/>
        <c:crosses val="autoZero"/>
        <c:crossBetween val="between"/>
        <c:majorUnit val="0.1"/>
      </c:valAx>
      <c:spPr>
        <a:noFill/>
        <a:ln>
          <a:noFill/>
        </a:ln>
        <a:effectLst/>
      </c:spPr>
    </c:plotArea>
    <c:legend>
      <c:legendPos val="b"/>
      <c:layout>
        <c:manualLayout>
          <c:xMode val="edge"/>
          <c:yMode val="edge"/>
          <c:x val="1.1637219766133884E-2"/>
          <c:y val="0.87487522745846658"/>
          <c:w val="0.96513982263844944"/>
          <c:h val="8.4411487427277776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1">
          <a:lumMod val="75000"/>
        </a:schemeClr>
      </a:solidFill>
      <a:round/>
    </a:ln>
    <a:effectLst/>
  </c:spPr>
  <c:txPr>
    <a:bodyPr/>
    <a:lstStyle/>
    <a:p>
      <a:pPr>
        <a:defRPr sz="800">
          <a:solidFill>
            <a:sysClr val="windowText" lastClr="000000"/>
          </a:solidFill>
          <a:latin typeface="+mn-lt"/>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Arial" panose="020B0604020202020204" pitchFamily="34" charset="0"/>
              </a:defRPr>
            </a:pPr>
            <a:r>
              <a:rPr lang="en-GB" sz="1100" b="1"/>
              <a:t>Degree classification - Level 6</a:t>
            </a:r>
          </a:p>
        </c:rich>
      </c:tx>
      <c:layout>
        <c:manualLayout>
          <c:xMode val="edge"/>
          <c:yMode val="edge"/>
          <c:x val="0.30134616893818506"/>
          <c:y val="3.9069894041022644E-2"/>
        </c:manualLayout>
      </c:layout>
      <c:overlay val="0"/>
      <c:spPr>
        <a:solidFill>
          <a:schemeClr val="bg1"/>
        </a:solid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Arial" panose="020B0604020202020204" pitchFamily="34" charset="0"/>
            </a:defRPr>
          </a:pPr>
          <a:endParaRPr lang="en-US"/>
        </a:p>
      </c:txPr>
    </c:title>
    <c:autoTitleDeleted val="0"/>
    <c:plotArea>
      <c:layout>
        <c:manualLayout>
          <c:layoutTarget val="inner"/>
          <c:xMode val="edge"/>
          <c:yMode val="edge"/>
          <c:x val="6.9754500638635045E-2"/>
          <c:y val="3.6551946908855992E-2"/>
          <c:w val="0.90141561050948071"/>
          <c:h val="0.73232001555361137"/>
        </c:manualLayout>
      </c:layout>
      <c:barChart>
        <c:barDir val="col"/>
        <c:grouping val="clustered"/>
        <c:varyColors val="0"/>
        <c:ser>
          <c:idx val="0"/>
          <c:order val="1"/>
          <c:tx>
            <c:strRef>
              <c:f>'Main Table Level 6 only'!$C$13</c:f>
              <c:strCache>
                <c:ptCount val="1"/>
                <c:pt idx="0">
                  <c:v>3/PASS</c:v>
                </c:pt>
              </c:strCache>
            </c:strRef>
          </c:tx>
          <c:spPr>
            <a:solidFill>
              <a:schemeClr val="accent6"/>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ysClr val="windowText" lastClr="000000"/>
                    </a:solidFill>
                    <a:latin typeface="+mn-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'Main Table Level 6 only'!$D$9:$H$9</c:f>
              <c:strCache>
                <c:ptCount val="5"/>
                <c:pt idx="0">
                  <c:v>2018/19</c:v>
                </c:pt>
                <c:pt idx="1">
                  <c:v>2019/20</c:v>
                </c:pt>
                <c:pt idx="2">
                  <c:v>2020/21</c:v>
                </c:pt>
                <c:pt idx="3">
                  <c:v>2021/22</c:v>
                </c:pt>
                <c:pt idx="4">
                  <c:v>2022/23</c:v>
                </c:pt>
              </c:strCache>
            </c:strRef>
          </c:cat>
          <c:val>
            <c:numRef>
              <c:f>'Main Table Level 6 only'!$D$13:$H$13</c:f>
              <c:numCache>
                <c:formatCode>0.0%</c:formatCode>
                <c:ptCount val="5"/>
                <c:pt idx="0">
                  <c:v>3.6945048121701338E-2</c:v>
                </c:pt>
                <c:pt idx="1">
                  <c:v>2.5774777539122429E-2</c:v>
                </c:pt>
                <c:pt idx="2">
                  <c:v>2.9140014214641081E-2</c:v>
                </c:pt>
                <c:pt idx="3">
                  <c:v>3.2834731849689894E-2</c:v>
                </c:pt>
                <c:pt idx="4">
                  <c:v>4.0133779264214048E-2</c:v>
                </c:pt>
              </c:numCache>
            </c:numRef>
          </c:val>
          <c:extLst>
            <c:ext xmlns:c16="http://schemas.microsoft.com/office/drawing/2014/chart" uri="{C3380CC4-5D6E-409C-BE32-E72D297353CC}">
              <c16:uniqueId val="{00000000-B1BB-461A-A48D-BDD6897E0F8A}"/>
            </c:ext>
          </c:extLst>
        </c:ser>
        <c:ser>
          <c:idx val="1"/>
          <c:order val="2"/>
          <c:tx>
            <c:strRef>
              <c:f>'Main Table Level 6 only'!$C$12</c:f>
              <c:strCache>
                <c:ptCount val="1"/>
                <c:pt idx="0">
                  <c:v>2:2</c:v>
                </c:pt>
              </c:strCache>
            </c:strRef>
          </c:tx>
          <c:spPr>
            <a:solidFill>
              <a:schemeClr val="accent5"/>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bg1"/>
                    </a:solidFill>
                    <a:latin typeface="+mn-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'Main Table Level 6 only'!$D$9:$H$9</c:f>
              <c:strCache>
                <c:ptCount val="5"/>
                <c:pt idx="0">
                  <c:v>2018/19</c:v>
                </c:pt>
                <c:pt idx="1">
                  <c:v>2019/20</c:v>
                </c:pt>
                <c:pt idx="2">
                  <c:v>2020/21</c:v>
                </c:pt>
                <c:pt idx="3">
                  <c:v>2021/22</c:v>
                </c:pt>
                <c:pt idx="4">
                  <c:v>2022/23</c:v>
                </c:pt>
              </c:strCache>
            </c:strRef>
          </c:cat>
          <c:val>
            <c:numRef>
              <c:f>'Main Table Level 6 only'!$D$12:$H$12</c:f>
              <c:numCache>
                <c:formatCode>0.0%</c:formatCode>
                <c:ptCount val="5"/>
                <c:pt idx="0">
                  <c:v>0.23688295560384973</c:v>
                </c:pt>
                <c:pt idx="1">
                  <c:v>0.17490027615833079</c:v>
                </c:pt>
                <c:pt idx="2">
                  <c:v>0.16879886282871356</c:v>
                </c:pt>
                <c:pt idx="3">
                  <c:v>0.21597956950018241</c:v>
                </c:pt>
                <c:pt idx="4">
                  <c:v>0.2445187662578967</c:v>
                </c:pt>
              </c:numCache>
            </c:numRef>
          </c:val>
          <c:extLst>
            <c:ext xmlns:c16="http://schemas.microsoft.com/office/drawing/2014/chart" uri="{C3380CC4-5D6E-409C-BE32-E72D297353CC}">
              <c16:uniqueId val="{00000001-B1BB-461A-A48D-BDD6897E0F8A}"/>
            </c:ext>
          </c:extLst>
        </c:ser>
        <c:ser>
          <c:idx val="2"/>
          <c:order val="3"/>
          <c:tx>
            <c:strRef>
              <c:f>'Main Table Level 6 only'!$C$11</c:f>
              <c:strCache>
                <c:ptCount val="1"/>
                <c:pt idx="0">
                  <c:v>2:1</c:v>
                </c:pt>
              </c:strCache>
            </c:strRef>
          </c:tx>
          <c:spPr>
            <a:solidFill>
              <a:schemeClr val="accent4"/>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ysClr val="windowText" lastClr="000000"/>
                    </a:solidFill>
                    <a:latin typeface="+mn-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'Main Table Level 6 only'!$D$9:$H$9</c:f>
              <c:strCache>
                <c:ptCount val="5"/>
                <c:pt idx="0">
                  <c:v>2018/19</c:v>
                </c:pt>
                <c:pt idx="1">
                  <c:v>2019/20</c:v>
                </c:pt>
                <c:pt idx="2">
                  <c:v>2020/21</c:v>
                </c:pt>
                <c:pt idx="3">
                  <c:v>2021/22</c:v>
                </c:pt>
                <c:pt idx="4">
                  <c:v>2022/23</c:v>
                </c:pt>
              </c:strCache>
            </c:strRef>
          </c:cat>
          <c:val>
            <c:numRef>
              <c:f>'Main Table Level 6 only'!$D$11:$H$11</c:f>
              <c:numCache>
                <c:formatCode>0.0%</c:formatCode>
                <c:ptCount val="5"/>
                <c:pt idx="0">
                  <c:v>0.48835765290282523</c:v>
                </c:pt>
                <c:pt idx="1">
                  <c:v>0.4795949677815281</c:v>
                </c:pt>
                <c:pt idx="2">
                  <c:v>0.44776119402985076</c:v>
                </c:pt>
                <c:pt idx="3">
                  <c:v>0.45567311200291866</c:v>
                </c:pt>
                <c:pt idx="4">
                  <c:v>0.43812709030100333</c:v>
                </c:pt>
              </c:numCache>
            </c:numRef>
          </c:val>
          <c:extLst>
            <c:ext xmlns:c16="http://schemas.microsoft.com/office/drawing/2014/chart" uri="{C3380CC4-5D6E-409C-BE32-E72D297353CC}">
              <c16:uniqueId val="{00000002-B1BB-461A-A48D-BDD6897E0F8A}"/>
            </c:ext>
          </c:extLst>
        </c:ser>
        <c:ser>
          <c:idx val="3"/>
          <c:order val="4"/>
          <c:tx>
            <c:strRef>
              <c:f>'Main Table Level 6 only'!$C$10</c:f>
              <c:strCache>
                <c:ptCount val="1"/>
                <c:pt idx="0">
                  <c:v>1st</c:v>
                </c:pt>
              </c:strCache>
            </c:strRef>
          </c:tx>
          <c:spPr>
            <a:solidFill>
              <a:schemeClr val="accent6">
                <a:lumMod val="60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chemeClr val="bg1"/>
                    </a:solidFill>
                    <a:latin typeface="+mn-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'Main Table Level 6 only'!$D$9:$H$9</c:f>
              <c:strCache>
                <c:ptCount val="5"/>
                <c:pt idx="0">
                  <c:v>2018/19</c:v>
                </c:pt>
                <c:pt idx="1">
                  <c:v>2019/20</c:v>
                </c:pt>
                <c:pt idx="2">
                  <c:v>2020/21</c:v>
                </c:pt>
                <c:pt idx="3">
                  <c:v>2021/22</c:v>
                </c:pt>
                <c:pt idx="4">
                  <c:v>2022/23</c:v>
                </c:pt>
              </c:strCache>
            </c:strRef>
          </c:cat>
          <c:val>
            <c:numRef>
              <c:f>'Main Table Level 6 only'!$D$10:$H$10</c:f>
              <c:numCache>
                <c:formatCode>0.0%</c:formatCode>
                <c:ptCount val="5"/>
                <c:pt idx="0">
                  <c:v>0.23781434337162372</c:v>
                </c:pt>
                <c:pt idx="1">
                  <c:v>0.3197299785210187</c:v>
                </c:pt>
                <c:pt idx="2">
                  <c:v>0.35429992892679457</c:v>
                </c:pt>
                <c:pt idx="3">
                  <c:v>0.29551258664720903</c:v>
                </c:pt>
                <c:pt idx="4">
                  <c:v>0.27722036417688589</c:v>
                </c:pt>
              </c:numCache>
            </c:numRef>
          </c:val>
          <c:extLst>
            <c:ext xmlns:c16="http://schemas.microsoft.com/office/drawing/2014/chart" uri="{C3380CC4-5D6E-409C-BE32-E72D297353CC}">
              <c16:uniqueId val="{00000003-B1BB-461A-A48D-BDD6897E0F8A}"/>
            </c:ext>
          </c:extLst>
        </c:ser>
        <c:dLbls>
          <c:showLegendKey val="0"/>
          <c:showVal val="0"/>
          <c:showCatName val="0"/>
          <c:showSerName val="0"/>
          <c:showPercent val="0"/>
          <c:showBubbleSize val="0"/>
        </c:dLbls>
        <c:gapWidth val="219"/>
        <c:overlap val="-27"/>
        <c:axId val="505119760"/>
        <c:axId val="505121728"/>
      </c:barChart>
      <c:lineChart>
        <c:grouping val="standard"/>
        <c:varyColors val="0"/>
        <c:ser>
          <c:idx val="4"/>
          <c:order val="0"/>
          <c:tx>
            <c:v>UoH 1st &amp; 2:1</c:v>
          </c:tx>
          <c:spPr>
            <a:ln w="28575" cap="rnd">
              <a:solidFill>
                <a:schemeClr val="accent5">
                  <a:lumMod val="60000"/>
                </a:schemeClr>
              </a:solidFill>
              <a:round/>
            </a:ln>
            <a:effectLst/>
          </c:spPr>
          <c:marker>
            <c:symbol val="diamond"/>
            <c:size val="7"/>
            <c:spPr>
              <a:solidFill>
                <a:schemeClr val="accent5">
                  <a:lumMod val="60000"/>
                </a:schemeClr>
              </a:solidFill>
              <a:ln w="9525">
                <a:solidFill>
                  <a:schemeClr val="accent5">
                    <a:lumMod val="6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5">
                        <a:lumMod val="50000"/>
                      </a:schemeClr>
                    </a:solidFill>
                    <a:latin typeface="+mn-lt"/>
                    <a:ea typeface="+mn-ea"/>
                    <a:cs typeface="Arial" panose="020B0604020202020204" pitchFamily="34"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'Main Table Level 6 only'!$D$9:$H$9</c:f>
              <c:strCache>
                <c:ptCount val="5"/>
                <c:pt idx="0">
                  <c:v>2018/19</c:v>
                </c:pt>
                <c:pt idx="1">
                  <c:v>2019/20</c:v>
                </c:pt>
                <c:pt idx="2">
                  <c:v>2020/21</c:v>
                </c:pt>
                <c:pt idx="3">
                  <c:v>2021/22</c:v>
                </c:pt>
                <c:pt idx="4">
                  <c:v>2022/23</c:v>
                </c:pt>
              </c:strCache>
            </c:strRef>
          </c:cat>
          <c:val>
            <c:numRef>
              <c:f>'Main Table Level 6 only'!$D$14:$H$14</c:f>
              <c:numCache>
                <c:formatCode>0.0%</c:formatCode>
                <c:ptCount val="5"/>
                <c:pt idx="0">
                  <c:v>0.72617199627444895</c:v>
                </c:pt>
                <c:pt idx="1">
                  <c:v>0.7993249463025468</c:v>
                </c:pt>
                <c:pt idx="2">
                  <c:v>0.80206112295664533</c:v>
                </c:pt>
                <c:pt idx="3">
                  <c:v>0.75118569865012774</c:v>
                </c:pt>
                <c:pt idx="4">
                  <c:v>0.71534745447788928</c:v>
                </c:pt>
              </c:numCache>
            </c:numRef>
          </c:val>
          <c:smooth val="0"/>
          <c:extLst>
            <c:ext xmlns:c16="http://schemas.microsoft.com/office/drawing/2014/chart" uri="{C3380CC4-5D6E-409C-BE32-E72D297353CC}">
              <c16:uniqueId val="{00000004-B1BB-461A-A48D-BDD6897E0F8A}"/>
            </c:ext>
          </c:extLst>
        </c:ser>
        <c:dLbls>
          <c:showLegendKey val="0"/>
          <c:showVal val="0"/>
          <c:showCatName val="0"/>
          <c:showSerName val="0"/>
          <c:showPercent val="0"/>
          <c:showBubbleSize val="0"/>
        </c:dLbls>
        <c:marker val="1"/>
        <c:smooth val="0"/>
        <c:axId val="505119760"/>
        <c:axId val="505121728"/>
      </c:lineChart>
      <c:catAx>
        <c:axId val="50511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Arial" panose="020B0604020202020204" pitchFamily="34" charset="0"/>
              </a:defRPr>
            </a:pPr>
            <a:endParaRPr lang="en-US"/>
          </a:p>
        </c:txPr>
        <c:crossAx val="505121728"/>
        <c:crosses val="autoZero"/>
        <c:auto val="1"/>
        <c:lblAlgn val="ctr"/>
        <c:lblOffset val="100"/>
        <c:noMultiLvlLbl val="0"/>
      </c:catAx>
      <c:valAx>
        <c:axId val="505121728"/>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Arial" panose="020B0604020202020204" pitchFamily="34" charset="0"/>
                  </a:defRPr>
                </a:pPr>
                <a:r>
                  <a:rPr lang="en-GB"/>
                  <a:t>%of</a:t>
                </a:r>
                <a:r>
                  <a:rPr lang="en-GB" baseline="0"/>
                  <a:t> Awards</a:t>
                </a:r>
                <a:endParaRPr lang="en-GB"/>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Arial" panose="020B0604020202020204" pitchFamily="34" charset="0"/>
                </a:defRPr>
              </a:pPr>
              <a:endParaRPr lang="en-GB"/>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Arial" panose="020B0604020202020204" pitchFamily="34" charset="0"/>
              </a:defRPr>
            </a:pPr>
            <a:endParaRPr lang="en-US"/>
          </a:p>
        </c:txPr>
        <c:crossAx val="505119760"/>
        <c:crosses val="autoZero"/>
        <c:crossBetween val="between"/>
        <c:majorUnit val="0.1"/>
      </c:valAx>
      <c:spPr>
        <a:noFill/>
        <a:ln>
          <a:noFill/>
        </a:ln>
        <a:effectLst/>
      </c:spPr>
    </c:plotArea>
    <c:legend>
      <c:legendPos val="b"/>
      <c:layout>
        <c:manualLayout>
          <c:xMode val="edge"/>
          <c:yMode val="edge"/>
          <c:x val="1.1637219766133884E-2"/>
          <c:y val="0.87487522745846658"/>
          <c:w val="0.96513982263844944"/>
          <c:h val="8.4411487427277776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bg1">
          <a:lumMod val="75000"/>
        </a:schemeClr>
      </a:solidFill>
      <a:round/>
    </a:ln>
    <a:effectLst/>
  </c:spPr>
  <c:txPr>
    <a:bodyPr/>
    <a:lstStyle/>
    <a:p>
      <a:pPr>
        <a:defRPr sz="800">
          <a:solidFill>
            <a:sysClr val="windowText" lastClr="000000"/>
          </a:solidFill>
          <a:latin typeface="+mn-lt"/>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4f3cc1b-5b15-4a57-a430-8092556f51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E8918AD9C1694B925FE1E260B6BFA2" ma:contentTypeVersion="18" ma:contentTypeDescription="Create a new document." ma:contentTypeScope="" ma:versionID="6903aaec58b644d4033be83e8f2bdd1a">
  <xsd:schema xmlns:xsd="http://www.w3.org/2001/XMLSchema" xmlns:xs="http://www.w3.org/2001/XMLSchema" xmlns:p="http://schemas.microsoft.com/office/2006/metadata/properties" xmlns:ns3="44f3cc1b-5b15-4a57-a430-8092556f51e9" xmlns:ns4="73e4d921-5bb9-48ef-9689-04f96b6c4bf9" targetNamespace="http://schemas.microsoft.com/office/2006/metadata/properties" ma:root="true" ma:fieldsID="c6629be6b73d17a006922f76d4c54968" ns3:_="" ns4:_="">
    <xsd:import namespace="44f3cc1b-5b15-4a57-a430-8092556f51e9"/>
    <xsd:import namespace="73e4d921-5bb9-48ef-9689-04f96b6c4b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3cc1b-5b15-4a57-a430-8092556f5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4d921-5bb9-48ef-9689-04f96b6c4b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2112ED-D662-4D4B-8A60-809A075383B6}">
  <ds:schemaRefs>
    <ds:schemaRef ds:uri="http://schemas.microsoft.com/sharepoint/v3/contenttype/forms"/>
  </ds:schemaRefs>
</ds:datastoreItem>
</file>

<file path=customXml/itemProps2.xml><?xml version="1.0" encoding="utf-8"?>
<ds:datastoreItem xmlns:ds="http://schemas.openxmlformats.org/officeDocument/2006/customXml" ds:itemID="{D2DA0186-EB6B-43DB-AA06-511F518CCA42}">
  <ds:schemaRefs>
    <ds:schemaRef ds:uri="http://schemas.microsoft.com/office/2006/metadata/properties"/>
    <ds:schemaRef ds:uri="http://schemas.microsoft.com/office/infopath/2007/PartnerControls"/>
    <ds:schemaRef ds:uri="44f3cc1b-5b15-4a57-a430-8092556f51e9"/>
  </ds:schemaRefs>
</ds:datastoreItem>
</file>

<file path=customXml/itemProps3.xml><?xml version="1.0" encoding="utf-8"?>
<ds:datastoreItem xmlns:ds="http://schemas.openxmlformats.org/officeDocument/2006/customXml" ds:itemID="{110FE7D2-528E-4D4B-8795-91C3707D8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3cc1b-5b15-4a57-a430-8092556f51e9"/>
    <ds:schemaRef ds:uri="73e4d921-5bb9-48ef-9689-04f96b6c4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Degree Outcomes Statement 2024-2025</dc:title>
  <dc:subject>
  </dc:subject>
  <dc:creator>Lynne J Braham</dc:creator>
  <cp:keywords>
  </cp:keywords>
  <dc:description>
  </dc:description>
  <cp:lastModifiedBy>Emma Dean</cp:lastModifiedBy>
  <cp:revision>51</cp:revision>
  <dcterms:created xsi:type="dcterms:W3CDTF">2024-03-20T12:03:00Z</dcterms:created>
  <dcterms:modified xsi:type="dcterms:W3CDTF">2025-03-17T15:17:52Z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0x01010088E8918AD9C1694B925FE1E260B6BFA2</vt:lpwstr>
  </property>
</Properties>
</file>