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Pr="00A96B3D" w:rsidR="00147CA2" w:rsidP="004E530B" w:rsidRDefault="00A96B3D" w14:paraId="567FF2F5" w14:textId="4514D0CE">
          <w:pPr>
            <w:pStyle w:val="PolicyTitle"/>
            <w:spacing w:after="360" w:line="240" w:lineRule="auto"/>
          </w:pPr>
          <w:r w:rsidRPr="00A96B3D">
            <w:t>Recognition of Prior Certificated and Experiential Learning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EE01FF" w14:paraId="39306864" w14:textId="1817F33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A96B3D">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EE01FF" w14:paraId="31B699F8" w14:textId="5ED7A227">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96B3D">
                  <w:rPr>
                    <w:b w:val="0"/>
                    <w:bCs/>
                    <w:color w:val="auto"/>
                    <w:sz w:val="22"/>
                    <w:szCs w:val="22"/>
                  </w:rPr>
                  <w:t>3 0</w:t>
                </w:r>
                <w:r>
                  <w:rPr>
                    <w:b w:val="0"/>
                    <w:bCs/>
                    <w:color w:val="auto"/>
                    <w:sz w:val="22"/>
                    <w:szCs w:val="22"/>
                  </w:rPr>
                  <w:t>1 Housekeeping</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EE01FF" w14:paraId="086EE632" w14:textId="3570D6D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A96B3D">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EE01FF" w14:paraId="61A4A8F3" w14:textId="11D7F9EC">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Pr="00A96B3D" w:rsidR="00A96B3D">
                  <w:rPr>
                    <w:b w:val="0"/>
                    <w:bCs/>
                    <w:color w:val="auto"/>
                    <w:sz w:val="22"/>
                    <w:szCs w:val="22"/>
                  </w:rPr>
                  <w:t>Education Student Experience Committee</w:t>
                </w:r>
                <w:r>
                  <w:rPr>
                    <w:b w:val="0"/>
                    <w:bCs/>
                    <w:color w:val="auto"/>
                    <w:sz w:val="22"/>
                    <w:szCs w:val="22"/>
                  </w:rPr>
                  <w:t xml:space="preserve"> (Education Committee from Jan 2025)</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EE01FF" w14:paraId="1252F2F2" w14:textId="1B54229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sdtContent>
                <w:r w:rsidR="00A96B3D">
                  <w:rPr>
                    <w:b w:val="0"/>
                    <w:bCs/>
                    <w:color w:val="auto"/>
                    <w:sz w:val="22"/>
                    <w:szCs w:val="22"/>
                  </w:rPr>
                  <w:t>23 April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EE01FF" w14:paraId="3AC671EE" w14:textId="6A19BC96">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A96B3D">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EE01FF" w14:paraId="5101B7D5" w14:textId="3103A681">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A96B3D">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EE01FF" w14:paraId="5EBE624B" w14:textId="26EE1322">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A96B3D">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EE01FF" w14:paraId="196463B0" w14:textId="31E1D60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A96B3D">
                  <w:rPr>
                    <w:b w:val="0"/>
                    <w:bCs/>
                    <w:color w:val="auto"/>
                    <w:sz w:val="22"/>
                    <w:szCs w:val="22"/>
                  </w:rPr>
                  <w:t>Quality Manager</w:t>
                </w:r>
              </w:sdtContent>
            </w:sdt>
          </w:p>
        </w:tc>
      </w:tr>
      <w:tr w:rsidRPr="001C25B7" w:rsidR="00FD5282" w:rsidTr="00594F90" w14:paraId="60452574" w14:textId="77777777">
        <w:tc>
          <w:tcPr>
            <w:tcW w:w="2694" w:type="dxa"/>
          </w:tcPr>
          <w:p w:rsidR="00FD5282" w:rsidP="00E73AF9" w:rsidRDefault="00FD5282" w14:paraId="70D1B36F" w14:textId="77777777">
            <w:pPr>
              <w:pStyle w:val="PolicyTitle"/>
              <w:spacing w:after="240"/>
              <w:rPr>
                <w:color w:val="auto"/>
                <w:sz w:val="22"/>
                <w:szCs w:val="22"/>
              </w:rPr>
            </w:pPr>
            <w:r w:rsidRPr="005C3775">
              <w:rPr>
                <w:color w:val="auto"/>
                <w:sz w:val="22"/>
                <w:szCs w:val="22"/>
              </w:rPr>
              <w:t>Contact:</w:t>
            </w:r>
          </w:p>
          <w:p w:rsidRPr="005C3775" w:rsidR="00896120" w:rsidP="00E73AF9" w:rsidRDefault="00896120" w14:paraId="17A0E353" w14:textId="37D861B7">
            <w:pPr>
              <w:pStyle w:val="PolicyTitle"/>
              <w:spacing w:after="240"/>
              <w:rPr>
                <w:color w:val="auto"/>
                <w:sz w:val="22"/>
                <w:szCs w:val="22"/>
              </w:rPr>
            </w:pPr>
            <w:r>
              <w:rPr>
                <w:color w:val="auto"/>
                <w:sz w:val="22"/>
                <w:szCs w:val="22"/>
              </w:rPr>
              <w:t>Report exemptions to:</w:t>
            </w:r>
          </w:p>
        </w:tc>
        <w:tc>
          <w:tcPr>
            <w:tcW w:w="6336" w:type="dxa"/>
          </w:tcPr>
          <w:p w:rsidR="00FD5282" w:rsidP="00E73AF9" w:rsidRDefault="00EE01FF" w14:paraId="26A62C56"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A96B3D">
                  <w:rPr>
                    <w:b w:val="0"/>
                    <w:bCs/>
                    <w:color w:val="auto"/>
                    <w:sz w:val="22"/>
                    <w:szCs w:val="22"/>
                    <w:lang w:val="it-IT"/>
                  </w:rPr>
                  <w:t>Quality Support Service</w:t>
                </w:r>
              </w:sdtContent>
            </w:sdt>
          </w:p>
          <w:p w:rsidRPr="00896120" w:rsidR="00896120" w:rsidP="00896120" w:rsidRDefault="00EE01FF" w14:paraId="123D99E2" w14:textId="438F3FE8">
            <w:r>
              <w:t xml:space="preserve">Education </w:t>
            </w:r>
            <w:r w:rsidR="00896120">
              <w:t>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EE01FF" w14:paraId="2461BAFE" w14:textId="3F74C606">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A96B3D">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EE01FF" w14:paraId="30450FD0" w14:textId="7E65E156">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A96B3D" w:rsidR="00A96B3D">
                  <w:rPr>
                    <w:b w:val="0"/>
                    <w:bCs/>
                    <w:color w:val="auto"/>
                    <w:sz w:val="22"/>
                    <w:szCs w:val="22"/>
                  </w:rPr>
                  <w:t xml:space="preserve">Code of Practice for Academic Appeals; QAA Advice and Guidance </w:t>
                </w:r>
                <w:r w:rsidR="00B7228D">
                  <w:rPr>
                    <w:b w:val="0"/>
                    <w:bCs/>
                    <w:color w:val="auto"/>
                    <w:sz w:val="22"/>
                    <w:szCs w:val="22"/>
                  </w:rPr>
                  <w:t>–</w:t>
                </w:r>
                <w:r w:rsidRPr="00A96B3D" w:rsidR="00A96B3D">
                  <w:rPr>
                    <w:b w:val="0"/>
                    <w:bCs/>
                    <w:color w:val="auto"/>
                    <w:sz w:val="22"/>
                    <w:szCs w:val="22"/>
                  </w:rPr>
                  <w:t xml:space="preserve"> Assessment</w:t>
                </w:r>
                <w:r w:rsidR="00B7228D">
                  <w:rPr>
                    <w:b w:val="0"/>
                    <w:bCs/>
                    <w:color w:val="auto"/>
                    <w:sz w:val="22"/>
                    <w:szCs w:val="22"/>
                  </w:rPr>
                  <w:t>; QAA A quick guide to recognising credit (June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EE01FF" w14:paraId="10AD8CAD" w14:textId="5A5E086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A53E4">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EE01FF" w14:paraId="047E3FAD" w14:textId="61F8FBB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A96B3D" w:rsidR="00A96B3D">
                  <w:rPr>
                    <w:b w:val="0"/>
                    <w:bCs/>
                    <w:color w:val="auto"/>
                    <w:sz w:val="22"/>
                    <w:szCs w:val="22"/>
                  </w:rPr>
                  <w:t>Quality and Standards | University of Hull 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xml:space="preserve">, and all policy documents </w:t>
      </w:r>
      <w:r w:rsidRPr="00AB3C14">
        <w:rPr>
          <w:bCs/>
          <w:color w:val="auto"/>
          <w:sz w:val="22"/>
          <w:szCs w:val="22"/>
        </w:rPr>
        <w:t>should</w:t>
      </w:r>
      <w:r w:rsidRPr="005C3775">
        <w:rPr>
          <w:b w:val="0"/>
          <w:color w:val="auto"/>
          <w:sz w:val="22"/>
          <w:szCs w:val="22"/>
        </w:rPr>
        <w:t xml:space="preserve">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w:t>
      </w:r>
      <w:r w:rsidRPr="00AB3C14">
        <w:rPr>
          <w:bCs/>
          <w:color w:val="auto"/>
          <w:sz w:val="22"/>
          <w:szCs w:val="22"/>
        </w:rPr>
        <w:t>must</w:t>
      </w:r>
      <w:r w:rsidRPr="005C3775">
        <w:rPr>
          <w:b w:val="0"/>
          <w:color w:val="auto"/>
          <w:sz w:val="22"/>
          <w:szCs w:val="22"/>
        </w:rPr>
        <w:t xml:space="preserve">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A96B3D" w14:paraId="338EF9A3" w14:textId="584D7A40">
          <w:pPr>
            <w:pStyle w:val="PolicyTitle"/>
            <w:spacing w:after="360" w:line="240" w:lineRule="auto"/>
            <w:rPr>
              <w:sz w:val="36"/>
              <w:szCs w:val="36"/>
            </w:rPr>
          </w:pPr>
          <w:r>
            <w:rPr>
              <w:sz w:val="36"/>
              <w:szCs w:val="36"/>
            </w:rPr>
            <w:t>Recognition of Prior Certificated and Experiential Learning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94D68" w:rsidRDefault="00F24D55" w14:paraId="15C12346" w14:textId="66A5E9F6">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8929519">
            <w:r w:rsidRPr="0050655E" w:rsidR="00194D68">
              <w:rPr>
                <w:rStyle w:val="Hyperlink"/>
                <w:noProof/>
              </w:rPr>
              <w:t>1</w:t>
            </w:r>
            <w:r w:rsidR="00194D68">
              <w:rPr>
                <w:rFonts w:asciiTheme="minorHAnsi" w:hAnsiTheme="minorHAnsi" w:cstheme="minorBidi"/>
                <w:noProof/>
                <w:kern w:val="2"/>
                <w:sz w:val="24"/>
                <w:szCs w:val="24"/>
                <w:lang w:val="en-GB" w:eastAsia="en-GB"/>
                <w14:ligatures w14:val="standardContextual"/>
              </w:rPr>
              <w:tab/>
            </w:r>
            <w:r w:rsidRPr="0050655E" w:rsidR="00194D68">
              <w:rPr>
                <w:rStyle w:val="Hyperlink"/>
                <w:noProof/>
              </w:rPr>
              <w:t>Introduction</w:t>
            </w:r>
            <w:r w:rsidR="00194D68">
              <w:rPr>
                <w:noProof/>
                <w:webHidden/>
              </w:rPr>
              <w:tab/>
            </w:r>
            <w:r w:rsidR="00194D68">
              <w:rPr>
                <w:noProof/>
                <w:webHidden/>
              </w:rPr>
              <w:fldChar w:fldCharType="begin"/>
            </w:r>
            <w:r w:rsidR="00194D68">
              <w:rPr>
                <w:noProof/>
                <w:webHidden/>
              </w:rPr>
              <w:instrText xml:space="preserve"> PAGEREF _Toc168929519 \h </w:instrText>
            </w:r>
            <w:r w:rsidR="00194D68">
              <w:rPr>
                <w:noProof/>
                <w:webHidden/>
              </w:rPr>
            </w:r>
            <w:r w:rsidR="00194D68">
              <w:rPr>
                <w:noProof/>
                <w:webHidden/>
              </w:rPr>
              <w:fldChar w:fldCharType="separate"/>
            </w:r>
            <w:r w:rsidR="00194D68">
              <w:rPr>
                <w:noProof/>
                <w:webHidden/>
              </w:rPr>
              <w:t>3</w:t>
            </w:r>
            <w:r w:rsidR="00194D68">
              <w:rPr>
                <w:noProof/>
                <w:webHidden/>
              </w:rPr>
              <w:fldChar w:fldCharType="end"/>
            </w:r>
          </w:hyperlink>
        </w:p>
        <w:p w:rsidR="00194D68" w:rsidRDefault="00194D68" w14:paraId="2D72F685" w14:textId="7EC57FA9">
          <w:pPr>
            <w:pStyle w:val="TOC2"/>
            <w:rPr>
              <w:rFonts w:asciiTheme="minorHAnsi" w:hAnsiTheme="minorHAnsi" w:cstheme="minorBidi"/>
              <w:noProof/>
              <w:kern w:val="2"/>
              <w:sz w:val="24"/>
              <w:szCs w:val="24"/>
              <w:lang w:val="en-GB" w:eastAsia="en-GB"/>
              <w14:ligatures w14:val="standardContextual"/>
            </w:rPr>
          </w:pPr>
          <w:hyperlink w:history="1" w:anchor="_Toc168929520">
            <w:r w:rsidRPr="0050655E">
              <w:rPr>
                <w:rStyle w:val="Hyperlink"/>
                <w:noProof/>
              </w:rPr>
              <w:t>Authority</w:t>
            </w:r>
            <w:r>
              <w:rPr>
                <w:noProof/>
                <w:webHidden/>
              </w:rPr>
              <w:tab/>
            </w:r>
            <w:r>
              <w:rPr>
                <w:noProof/>
                <w:webHidden/>
              </w:rPr>
              <w:fldChar w:fldCharType="begin"/>
            </w:r>
            <w:r>
              <w:rPr>
                <w:noProof/>
                <w:webHidden/>
              </w:rPr>
              <w:instrText xml:space="preserve"> PAGEREF _Toc168929520 \h </w:instrText>
            </w:r>
            <w:r>
              <w:rPr>
                <w:noProof/>
                <w:webHidden/>
              </w:rPr>
            </w:r>
            <w:r>
              <w:rPr>
                <w:noProof/>
                <w:webHidden/>
              </w:rPr>
              <w:fldChar w:fldCharType="separate"/>
            </w:r>
            <w:r>
              <w:rPr>
                <w:noProof/>
                <w:webHidden/>
              </w:rPr>
              <w:t>3</w:t>
            </w:r>
            <w:r>
              <w:rPr>
                <w:noProof/>
                <w:webHidden/>
              </w:rPr>
              <w:fldChar w:fldCharType="end"/>
            </w:r>
          </w:hyperlink>
        </w:p>
        <w:p w:rsidR="00194D68" w:rsidRDefault="00194D68" w14:paraId="2E6807BC" w14:textId="0196B7C5">
          <w:pPr>
            <w:pStyle w:val="TOC2"/>
            <w:rPr>
              <w:rFonts w:asciiTheme="minorHAnsi" w:hAnsiTheme="minorHAnsi" w:cstheme="minorBidi"/>
              <w:noProof/>
              <w:kern w:val="2"/>
              <w:sz w:val="24"/>
              <w:szCs w:val="24"/>
              <w:lang w:val="en-GB" w:eastAsia="en-GB"/>
              <w14:ligatures w14:val="standardContextual"/>
            </w:rPr>
          </w:pPr>
          <w:hyperlink w:history="1" w:anchor="_Toc168929521">
            <w:r w:rsidRPr="0050655E">
              <w:rPr>
                <w:rStyle w:val="Hyperlink"/>
                <w:noProof/>
              </w:rPr>
              <w:t>Application to Collaborative Provision</w:t>
            </w:r>
            <w:r>
              <w:rPr>
                <w:noProof/>
                <w:webHidden/>
              </w:rPr>
              <w:tab/>
            </w:r>
            <w:r>
              <w:rPr>
                <w:noProof/>
                <w:webHidden/>
              </w:rPr>
              <w:fldChar w:fldCharType="begin"/>
            </w:r>
            <w:r>
              <w:rPr>
                <w:noProof/>
                <w:webHidden/>
              </w:rPr>
              <w:instrText xml:space="preserve"> PAGEREF _Toc168929521 \h </w:instrText>
            </w:r>
            <w:r>
              <w:rPr>
                <w:noProof/>
                <w:webHidden/>
              </w:rPr>
            </w:r>
            <w:r>
              <w:rPr>
                <w:noProof/>
                <w:webHidden/>
              </w:rPr>
              <w:fldChar w:fldCharType="separate"/>
            </w:r>
            <w:r>
              <w:rPr>
                <w:noProof/>
                <w:webHidden/>
              </w:rPr>
              <w:t>3</w:t>
            </w:r>
            <w:r>
              <w:rPr>
                <w:noProof/>
                <w:webHidden/>
              </w:rPr>
              <w:fldChar w:fldCharType="end"/>
            </w:r>
          </w:hyperlink>
        </w:p>
        <w:p w:rsidR="00194D68" w:rsidRDefault="00194D68" w14:paraId="67FD92B5" w14:textId="08BEFDE1">
          <w:pPr>
            <w:pStyle w:val="TOC1"/>
            <w:rPr>
              <w:rFonts w:asciiTheme="minorHAnsi" w:hAnsiTheme="minorHAnsi" w:cstheme="minorBidi"/>
              <w:noProof/>
              <w:kern w:val="2"/>
              <w:sz w:val="24"/>
              <w:szCs w:val="24"/>
              <w:lang w:val="en-GB" w:eastAsia="en-GB"/>
              <w14:ligatures w14:val="standardContextual"/>
            </w:rPr>
          </w:pPr>
          <w:hyperlink w:history="1" w:anchor="_Toc168929522">
            <w:r w:rsidRPr="0050655E">
              <w:rPr>
                <w:rStyle w:val="Hyperlink"/>
                <w:noProof/>
              </w:rPr>
              <w:t>2</w:t>
            </w:r>
            <w:r>
              <w:rPr>
                <w:rFonts w:asciiTheme="minorHAnsi" w:hAnsiTheme="minorHAnsi" w:cstheme="minorBidi"/>
                <w:noProof/>
                <w:kern w:val="2"/>
                <w:sz w:val="24"/>
                <w:szCs w:val="24"/>
                <w:lang w:val="en-GB" w:eastAsia="en-GB"/>
                <w14:ligatures w14:val="standardContextual"/>
              </w:rPr>
              <w:tab/>
            </w:r>
            <w:r w:rsidRPr="0050655E">
              <w:rPr>
                <w:rStyle w:val="Hyperlink"/>
                <w:noProof/>
              </w:rPr>
              <w:t>Terminology</w:t>
            </w:r>
            <w:r>
              <w:rPr>
                <w:noProof/>
                <w:webHidden/>
              </w:rPr>
              <w:tab/>
            </w:r>
            <w:r>
              <w:rPr>
                <w:noProof/>
                <w:webHidden/>
              </w:rPr>
              <w:fldChar w:fldCharType="begin"/>
            </w:r>
            <w:r>
              <w:rPr>
                <w:noProof/>
                <w:webHidden/>
              </w:rPr>
              <w:instrText xml:space="preserve"> PAGEREF _Toc168929522 \h </w:instrText>
            </w:r>
            <w:r>
              <w:rPr>
                <w:noProof/>
                <w:webHidden/>
              </w:rPr>
            </w:r>
            <w:r>
              <w:rPr>
                <w:noProof/>
                <w:webHidden/>
              </w:rPr>
              <w:fldChar w:fldCharType="separate"/>
            </w:r>
            <w:r>
              <w:rPr>
                <w:noProof/>
                <w:webHidden/>
              </w:rPr>
              <w:t>3</w:t>
            </w:r>
            <w:r>
              <w:rPr>
                <w:noProof/>
                <w:webHidden/>
              </w:rPr>
              <w:fldChar w:fldCharType="end"/>
            </w:r>
          </w:hyperlink>
        </w:p>
        <w:p w:rsidR="00194D68" w:rsidRDefault="00194D68" w14:paraId="05F21AAD" w14:textId="2CAE9BFC">
          <w:pPr>
            <w:pStyle w:val="TOC1"/>
            <w:rPr>
              <w:rFonts w:asciiTheme="minorHAnsi" w:hAnsiTheme="minorHAnsi" w:cstheme="minorBidi"/>
              <w:noProof/>
              <w:kern w:val="2"/>
              <w:sz w:val="24"/>
              <w:szCs w:val="24"/>
              <w:lang w:val="en-GB" w:eastAsia="en-GB"/>
              <w14:ligatures w14:val="standardContextual"/>
            </w:rPr>
          </w:pPr>
          <w:hyperlink w:history="1" w:anchor="_Toc168929523">
            <w:r w:rsidRPr="0050655E">
              <w:rPr>
                <w:rStyle w:val="Hyperlink"/>
                <w:noProof/>
              </w:rPr>
              <w:t>3</w:t>
            </w:r>
            <w:r>
              <w:rPr>
                <w:rFonts w:asciiTheme="minorHAnsi" w:hAnsiTheme="minorHAnsi" w:cstheme="minorBidi"/>
                <w:noProof/>
                <w:kern w:val="2"/>
                <w:sz w:val="24"/>
                <w:szCs w:val="24"/>
                <w:lang w:val="en-GB" w:eastAsia="en-GB"/>
                <w14:ligatures w14:val="standardContextual"/>
              </w:rPr>
              <w:tab/>
            </w:r>
            <w:r w:rsidRPr="0050655E">
              <w:rPr>
                <w:rStyle w:val="Hyperlink"/>
                <w:noProof/>
              </w:rPr>
              <w:t>Progression Agreements</w:t>
            </w:r>
            <w:r>
              <w:rPr>
                <w:noProof/>
                <w:webHidden/>
              </w:rPr>
              <w:tab/>
            </w:r>
            <w:r>
              <w:rPr>
                <w:noProof/>
                <w:webHidden/>
              </w:rPr>
              <w:fldChar w:fldCharType="begin"/>
            </w:r>
            <w:r>
              <w:rPr>
                <w:noProof/>
                <w:webHidden/>
              </w:rPr>
              <w:instrText xml:space="preserve"> PAGEREF _Toc168929523 \h </w:instrText>
            </w:r>
            <w:r>
              <w:rPr>
                <w:noProof/>
                <w:webHidden/>
              </w:rPr>
            </w:r>
            <w:r>
              <w:rPr>
                <w:noProof/>
                <w:webHidden/>
              </w:rPr>
              <w:fldChar w:fldCharType="separate"/>
            </w:r>
            <w:r>
              <w:rPr>
                <w:noProof/>
                <w:webHidden/>
              </w:rPr>
              <w:t>4</w:t>
            </w:r>
            <w:r>
              <w:rPr>
                <w:noProof/>
                <w:webHidden/>
              </w:rPr>
              <w:fldChar w:fldCharType="end"/>
            </w:r>
          </w:hyperlink>
        </w:p>
        <w:p w:rsidR="00194D68" w:rsidRDefault="00194D68" w14:paraId="33F6080F" w14:textId="688B3D44">
          <w:pPr>
            <w:pStyle w:val="TOC1"/>
            <w:rPr>
              <w:rFonts w:asciiTheme="minorHAnsi" w:hAnsiTheme="minorHAnsi" w:cstheme="minorBidi"/>
              <w:noProof/>
              <w:kern w:val="2"/>
              <w:sz w:val="24"/>
              <w:szCs w:val="24"/>
              <w:lang w:val="en-GB" w:eastAsia="en-GB"/>
              <w14:ligatures w14:val="standardContextual"/>
            </w:rPr>
          </w:pPr>
          <w:hyperlink w:history="1" w:anchor="_Toc168929524">
            <w:r w:rsidRPr="0050655E">
              <w:rPr>
                <w:rStyle w:val="Hyperlink"/>
                <w:noProof/>
              </w:rPr>
              <w:t>4</w:t>
            </w:r>
            <w:r>
              <w:rPr>
                <w:rFonts w:asciiTheme="minorHAnsi" w:hAnsiTheme="minorHAnsi" w:cstheme="minorBidi"/>
                <w:noProof/>
                <w:kern w:val="2"/>
                <w:sz w:val="24"/>
                <w:szCs w:val="24"/>
                <w:lang w:val="en-GB" w:eastAsia="en-GB"/>
                <w14:ligatures w14:val="standardContextual"/>
              </w:rPr>
              <w:tab/>
            </w:r>
            <w:r w:rsidRPr="0050655E">
              <w:rPr>
                <w:rStyle w:val="Hyperlink"/>
                <w:noProof/>
              </w:rPr>
              <w:t>RPL Limitations</w:t>
            </w:r>
            <w:r>
              <w:rPr>
                <w:noProof/>
                <w:webHidden/>
              </w:rPr>
              <w:tab/>
            </w:r>
            <w:r>
              <w:rPr>
                <w:noProof/>
                <w:webHidden/>
              </w:rPr>
              <w:fldChar w:fldCharType="begin"/>
            </w:r>
            <w:r>
              <w:rPr>
                <w:noProof/>
                <w:webHidden/>
              </w:rPr>
              <w:instrText xml:space="preserve"> PAGEREF _Toc168929524 \h </w:instrText>
            </w:r>
            <w:r>
              <w:rPr>
                <w:noProof/>
                <w:webHidden/>
              </w:rPr>
            </w:r>
            <w:r>
              <w:rPr>
                <w:noProof/>
                <w:webHidden/>
              </w:rPr>
              <w:fldChar w:fldCharType="separate"/>
            </w:r>
            <w:r>
              <w:rPr>
                <w:noProof/>
                <w:webHidden/>
              </w:rPr>
              <w:t>4</w:t>
            </w:r>
            <w:r>
              <w:rPr>
                <w:noProof/>
                <w:webHidden/>
              </w:rPr>
              <w:fldChar w:fldCharType="end"/>
            </w:r>
          </w:hyperlink>
        </w:p>
        <w:p w:rsidR="00194D68" w:rsidRDefault="00194D68" w14:paraId="009FFD8C" w14:textId="08349F47">
          <w:pPr>
            <w:pStyle w:val="TOC2"/>
            <w:rPr>
              <w:rFonts w:asciiTheme="minorHAnsi" w:hAnsiTheme="minorHAnsi" w:cstheme="minorBidi"/>
              <w:noProof/>
              <w:kern w:val="2"/>
              <w:sz w:val="24"/>
              <w:szCs w:val="24"/>
              <w:lang w:val="en-GB" w:eastAsia="en-GB"/>
              <w14:ligatures w14:val="standardContextual"/>
            </w:rPr>
          </w:pPr>
          <w:hyperlink w:history="1" w:anchor="_Toc168929525">
            <w:r w:rsidRPr="0050655E">
              <w:rPr>
                <w:rStyle w:val="Hyperlink"/>
                <w:noProof/>
              </w:rPr>
              <w:t>Whole modules</w:t>
            </w:r>
            <w:r>
              <w:rPr>
                <w:noProof/>
                <w:webHidden/>
              </w:rPr>
              <w:tab/>
            </w:r>
            <w:r>
              <w:rPr>
                <w:noProof/>
                <w:webHidden/>
              </w:rPr>
              <w:fldChar w:fldCharType="begin"/>
            </w:r>
            <w:r>
              <w:rPr>
                <w:noProof/>
                <w:webHidden/>
              </w:rPr>
              <w:instrText xml:space="preserve"> PAGEREF _Toc168929525 \h </w:instrText>
            </w:r>
            <w:r>
              <w:rPr>
                <w:noProof/>
                <w:webHidden/>
              </w:rPr>
            </w:r>
            <w:r>
              <w:rPr>
                <w:noProof/>
                <w:webHidden/>
              </w:rPr>
              <w:fldChar w:fldCharType="separate"/>
            </w:r>
            <w:r>
              <w:rPr>
                <w:noProof/>
                <w:webHidden/>
              </w:rPr>
              <w:t>4</w:t>
            </w:r>
            <w:r>
              <w:rPr>
                <w:noProof/>
                <w:webHidden/>
              </w:rPr>
              <w:fldChar w:fldCharType="end"/>
            </w:r>
          </w:hyperlink>
        </w:p>
        <w:p w:rsidR="00194D68" w:rsidRDefault="00194D68" w14:paraId="14CE8C06" w14:textId="61499140">
          <w:pPr>
            <w:pStyle w:val="TOC2"/>
            <w:rPr>
              <w:rFonts w:asciiTheme="minorHAnsi" w:hAnsiTheme="minorHAnsi" w:cstheme="minorBidi"/>
              <w:noProof/>
              <w:kern w:val="2"/>
              <w:sz w:val="24"/>
              <w:szCs w:val="24"/>
              <w:lang w:val="en-GB" w:eastAsia="en-GB"/>
              <w14:ligatures w14:val="standardContextual"/>
            </w:rPr>
          </w:pPr>
          <w:hyperlink w:history="1" w:anchor="_Toc168929526">
            <w:r w:rsidRPr="0050655E">
              <w:rPr>
                <w:rStyle w:val="Hyperlink"/>
                <w:noProof/>
              </w:rPr>
              <w:t>Reuse of Credit</w:t>
            </w:r>
            <w:r>
              <w:rPr>
                <w:noProof/>
                <w:webHidden/>
              </w:rPr>
              <w:tab/>
            </w:r>
            <w:r>
              <w:rPr>
                <w:noProof/>
                <w:webHidden/>
              </w:rPr>
              <w:fldChar w:fldCharType="begin"/>
            </w:r>
            <w:r>
              <w:rPr>
                <w:noProof/>
                <w:webHidden/>
              </w:rPr>
              <w:instrText xml:space="preserve"> PAGEREF _Toc168929526 \h </w:instrText>
            </w:r>
            <w:r>
              <w:rPr>
                <w:noProof/>
                <w:webHidden/>
              </w:rPr>
            </w:r>
            <w:r>
              <w:rPr>
                <w:noProof/>
                <w:webHidden/>
              </w:rPr>
              <w:fldChar w:fldCharType="separate"/>
            </w:r>
            <w:r>
              <w:rPr>
                <w:noProof/>
                <w:webHidden/>
              </w:rPr>
              <w:t>4</w:t>
            </w:r>
            <w:r>
              <w:rPr>
                <w:noProof/>
                <w:webHidden/>
              </w:rPr>
              <w:fldChar w:fldCharType="end"/>
            </w:r>
          </w:hyperlink>
        </w:p>
        <w:p w:rsidR="00194D68" w:rsidRDefault="00194D68" w14:paraId="52DE8371" w14:textId="78E312E9">
          <w:pPr>
            <w:pStyle w:val="TOC1"/>
            <w:rPr>
              <w:rFonts w:asciiTheme="minorHAnsi" w:hAnsiTheme="minorHAnsi" w:cstheme="minorBidi"/>
              <w:noProof/>
              <w:kern w:val="2"/>
              <w:sz w:val="24"/>
              <w:szCs w:val="24"/>
              <w:lang w:val="en-GB" w:eastAsia="en-GB"/>
              <w14:ligatures w14:val="standardContextual"/>
            </w:rPr>
          </w:pPr>
          <w:hyperlink w:history="1" w:anchor="_Toc168929527">
            <w:r w:rsidRPr="0050655E">
              <w:rPr>
                <w:rStyle w:val="Hyperlink"/>
                <w:noProof/>
              </w:rPr>
              <w:t>5</w:t>
            </w:r>
            <w:r>
              <w:rPr>
                <w:rFonts w:asciiTheme="minorHAnsi" w:hAnsiTheme="minorHAnsi" w:cstheme="minorBidi"/>
                <w:noProof/>
                <w:kern w:val="2"/>
                <w:sz w:val="24"/>
                <w:szCs w:val="24"/>
                <w:lang w:val="en-GB" w:eastAsia="en-GB"/>
                <w14:ligatures w14:val="standardContextual"/>
              </w:rPr>
              <w:tab/>
            </w:r>
            <w:r w:rsidRPr="0050655E">
              <w:rPr>
                <w:rStyle w:val="Hyperlink"/>
                <w:noProof/>
              </w:rPr>
              <w:t>RPL Maxima</w:t>
            </w:r>
            <w:r>
              <w:rPr>
                <w:noProof/>
                <w:webHidden/>
              </w:rPr>
              <w:tab/>
            </w:r>
            <w:r>
              <w:rPr>
                <w:noProof/>
                <w:webHidden/>
              </w:rPr>
              <w:fldChar w:fldCharType="begin"/>
            </w:r>
            <w:r>
              <w:rPr>
                <w:noProof/>
                <w:webHidden/>
              </w:rPr>
              <w:instrText xml:space="preserve"> PAGEREF _Toc168929527 \h </w:instrText>
            </w:r>
            <w:r>
              <w:rPr>
                <w:noProof/>
                <w:webHidden/>
              </w:rPr>
            </w:r>
            <w:r>
              <w:rPr>
                <w:noProof/>
                <w:webHidden/>
              </w:rPr>
              <w:fldChar w:fldCharType="separate"/>
            </w:r>
            <w:r>
              <w:rPr>
                <w:noProof/>
                <w:webHidden/>
              </w:rPr>
              <w:t>5</w:t>
            </w:r>
            <w:r>
              <w:rPr>
                <w:noProof/>
                <w:webHidden/>
              </w:rPr>
              <w:fldChar w:fldCharType="end"/>
            </w:r>
          </w:hyperlink>
        </w:p>
        <w:p w:rsidR="00194D68" w:rsidRDefault="00194D68" w14:paraId="3D657369" w14:textId="247961C9">
          <w:pPr>
            <w:pStyle w:val="TOC1"/>
            <w:rPr>
              <w:rFonts w:asciiTheme="minorHAnsi" w:hAnsiTheme="minorHAnsi" w:cstheme="minorBidi"/>
              <w:noProof/>
              <w:kern w:val="2"/>
              <w:sz w:val="24"/>
              <w:szCs w:val="24"/>
              <w:lang w:val="en-GB" w:eastAsia="en-GB"/>
              <w14:ligatures w14:val="standardContextual"/>
            </w:rPr>
          </w:pPr>
          <w:hyperlink w:history="1" w:anchor="_Toc168929528">
            <w:r w:rsidRPr="0050655E">
              <w:rPr>
                <w:rStyle w:val="Hyperlink"/>
                <w:noProof/>
              </w:rPr>
              <w:t>6</w:t>
            </w:r>
            <w:r>
              <w:rPr>
                <w:rFonts w:asciiTheme="minorHAnsi" w:hAnsiTheme="minorHAnsi" w:cstheme="minorBidi"/>
                <w:noProof/>
                <w:kern w:val="2"/>
                <w:sz w:val="24"/>
                <w:szCs w:val="24"/>
                <w:lang w:val="en-GB" w:eastAsia="en-GB"/>
                <w14:ligatures w14:val="standardContextual"/>
              </w:rPr>
              <w:tab/>
            </w:r>
            <w:r w:rsidRPr="0050655E">
              <w:rPr>
                <w:rStyle w:val="Hyperlink"/>
                <w:noProof/>
              </w:rPr>
              <w:t>Decision Making Process</w:t>
            </w:r>
            <w:r>
              <w:rPr>
                <w:noProof/>
                <w:webHidden/>
              </w:rPr>
              <w:tab/>
            </w:r>
            <w:r>
              <w:rPr>
                <w:noProof/>
                <w:webHidden/>
              </w:rPr>
              <w:fldChar w:fldCharType="begin"/>
            </w:r>
            <w:r>
              <w:rPr>
                <w:noProof/>
                <w:webHidden/>
              </w:rPr>
              <w:instrText xml:space="preserve"> PAGEREF _Toc168929528 \h </w:instrText>
            </w:r>
            <w:r>
              <w:rPr>
                <w:noProof/>
                <w:webHidden/>
              </w:rPr>
            </w:r>
            <w:r>
              <w:rPr>
                <w:noProof/>
                <w:webHidden/>
              </w:rPr>
              <w:fldChar w:fldCharType="separate"/>
            </w:r>
            <w:r>
              <w:rPr>
                <w:noProof/>
                <w:webHidden/>
              </w:rPr>
              <w:t>6</w:t>
            </w:r>
            <w:r>
              <w:rPr>
                <w:noProof/>
                <w:webHidden/>
              </w:rPr>
              <w:fldChar w:fldCharType="end"/>
            </w:r>
          </w:hyperlink>
        </w:p>
        <w:p w:rsidR="00194D68" w:rsidRDefault="00194D68" w14:paraId="78094DC5" w14:textId="756EDE92">
          <w:pPr>
            <w:pStyle w:val="TOC2"/>
            <w:rPr>
              <w:rFonts w:asciiTheme="minorHAnsi" w:hAnsiTheme="minorHAnsi" w:cstheme="minorBidi"/>
              <w:noProof/>
              <w:kern w:val="2"/>
              <w:sz w:val="24"/>
              <w:szCs w:val="24"/>
              <w:lang w:val="en-GB" w:eastAsia="en-GB"/>
              <w14:ligatures w14:val="standardContextual"/>
            </w:rPr>
          </w:pPr>
          <w:hyperlink w:history="1" w:anchor="_Toc168929529">
            <w:r w:rsidRPr="0050655E">
              <w:rPr>
                <w:rStyle w:val="Hyperlink"/>
                <w:noProof/>
              </w:rPr>
              <w:t>Decision making authority</w:t>
            </w:r>
            <w:r>
              <w:rPr>
                <w:noProof/>
                <w:webHidden/>
              </w:rPr>
              <w:tab/>
            </w:r>
            <w:r>
              <w:rPr>
                <w:noProof/>
                <w:webHidden/>
              </w:rPr>
              <w:fldChar w:fldCharType="begin"/>
            </w:r>
            <w:r>
              <w:rPr>
                <w:noProof/>
                <w:webHidden/>
              </w:rPr>
              <w:instrText xml:space="preserve"> PAGEREF _Toc168929529 \h </w:instrText>
            </w:r>
            <w:r>
              <w:rPr>
                <w:noProof/>
                <w:webHidden/>
              </w:rPr>
            </w:r>
            <w:r>
              <w:rPr>
                <w:noProof/>
                <w:webHidden/>
              </w:rPr>
              <w:fldChar w:fldCharType="separate"/>
            </w:r>
            <w:r>
              <w:rPr>
                <w:noProof/>
                <w:webHidden/>
              </w:rPr>
              <w:t>6</w:t>
            </w:r>
            <w:r>
              <w:rPr>
                <w:noProof/>
                <w:webHidden/>
              </w:rPr>
              <w:fldChar w:fldCharType="end"/>
            </w:r>
          </w:hyperlink>
        </w:p>
        <w:p w:rsidR="00194D68" w:rsidRDefault="00194D68" w14:paraId="17F97B7A" w14:textId="4C0F8319">
          <w:pPr>
            <w:pStyle w:val="TOC2"/>
            <w:rPr>
              <w:rFonts w:asciiTheme="minorHAnsi" w:hAnsiTheme="minorHAnsi" w:cstheme="minorBidi"/>
              <w:noProof/>
              <w:kern w:val="2"/>
              <w:sz w:val="24"/>
              <w:szCs w:val="24"/>
              <w:lang w:val="en-GB" w:eastAsia="en-GB"/>
              <w14:ligatures w14:val="standardContextual"/>
            </w:rPr>
          </w:pPr>
          <w:hyperlink w:history="1" w:anchor="_Toc168929530">
            <w:r w:rsidRPr="0050655E">
              <w:rPr>
                <w:rStyle w:val="Hyperlink"/>
                <w:noProof/>
              </w:rPr>
              <w:t>Applications for RPL</w:t>
            </w:r>
            <w:r>
              <w:rPr>
                <w:noProof/>
                <w:webHidden/>
              </w:rPr>
              <w:tab/>
            </w:r>
            <w:r>
              <w:rPr>
                <w:noProof/>
                <w:webHidden/>
              </w:rPr>
              <w:fldChar w:fldCharType="begin"/>
            </w:r>
            <w:r>
              <w:rPr>
                <w:noProof/>
                <w:webHidden/>
              </w:rPr>
              <w:instrText xml:space="preserve"> PAGEREF _Toc168929530 \h </w:instrText>
            </w:r>
            <w:r>
              <w:rPr>
                <w:noProof/>
                <w:webHidden/>
              </w:rPr>
            </w:r>
            <w:r>
              <w:rPr>
                <w:noProof/>
                <w:webHidden/>
              </w:rPr>
              <w:fldChar w:fldCharType="separate"/>
            </w:r>
            <w:r>
              <w:rPr>
                <w:noProof/>
                <w:webHidden/>
              </w:rPr>
              <w:t>6</w:t>
            </w:r>
            <w:r>
              <w:rPr>
                <w:noProof/>
                <w:webHidden/>
              </w:rPr>
              <w:fldChar w:fldCharType="end"/>
            </w:r>
          </w:hyperlink>
        </w:p>
        <w:p w:rsidR="00194D68" w:rsidRDefault="00194D68" w14:paraId="5902A301" w14:textId="246F4F94">
          <w:pPr>
            <w:pStyle w:val="TOC2"/>
            <w:rPr>
              <w:rFonts w:asciiTheme="minorHAnsi" w:hAnsiTheme="minorHAnsi" w:cstheme="minorBidi"/>
              <w:noProof/>
              <w:kern w:val="2"/>
              <w:sz w:val="24"/>
              <w:szCs w:val="24"/>
              <w:lang w:val="en-GB" w:eastAsia="en-GB"/>
              <w14:ligatures w14:val="standardContextual"/>
            </w:rPr>
          </w:pPr>
          <w:hyperlink w:history="1" w:anchor="_Toc168929531">
            <w:r w:rsidRPr="0050655E">
              <w:rPr>
                <w:rStyle w:val="Hyperlink"/>
                <w:noProof/>
              </w:rPr>
              <w:t>Communication of decisions</w:t>
            </w:r>
            <w:r>
              <w:rPr>
                <w:noProof/>
                <w:webHidden/>
              </w:rPr>
              <w:tab/>
            </w:r>
            <w:r>
              <w:rPr>
                <w:noProof/>
                <w:webHidden/>
              </w:rPr>
              <w:fldChar w:fldCharType="begin"/>
            </w:r>
            <w:r>
              <w:rPr>
                <w:noProof/>
                <w:webHidden/>
              </w:rPr>
              <w:instrText xml:space="preserve"> PAGEREF _Toc168929531 \h </w:instrText>
            </w:r>
            <w:r>
              <w:rPr>
                <w:noProof/>
                <w:webHidden/>
              </w:rPr>
            </w:r>
            <w:r>
              <w:rPr>
                <w:noProof/>
                <w:webHidden/>
              </w:rPr>
              <w:fldChar w:fldCharType="separate"/>
            </w:r>
            <w:r>
              <w:rPr>
                <w:noProof/>
                <w:webHidden/>
              </w:rPr>
              <w:t>7</w:t>
            </w:r>
            <w:r>
              <w:rPr>
                <w:noProof/>
                <w:webHidden/>
              </w:rPr>
              <w:fldChar w:fldCharType="end"/>
            </w:r>
          </w:hyperlink>
        </w:p>
        <w:p w:rsidR="00194D68" w:rsidRDefault="00194D68" w14:paraId="5534333B" w14:textId="5698E28C">
          <w:pPr>
            <w:pStyle w:val="TOC2"/>
            <w:rPr>
              <w:rFonts w:asciiTheme="minorHAnsi" w:hAnsiTheme="minorHAnsi" w:cstheme="minorBidi"/>
              <w:noProof/>
              <w:kern w:val="2"/>
              <w:sz w:val="24"/>
              <w:szCs w:val="24"/>
              <w:lang w:val="en-GB" w:eastAsia="en-GB"/>
              <w14:ligatures w14:val="standardContextual"/>
            </w:rPr>
          </w:pPr>
          <w:hyperlink w:history="1" w:anchor="_Toc168929532">
            <w:r w:rsidRPr="0050655E">
              <w:rPr>
                <w:rStyle w:val="Hyperlink"/>
                <w:noProof/>
              </w:rPr>
              <w:t>Complaints and appeals</w:t>
            </w:r>
            <w:r>
              <w:rPr>
                <w:noProof/>
                <w:webHidden/>
              </w:rPr>
              <w:tab/>
            </w:r>
            <w:r>
              <w:rPr>
                <w:noProof/>
                <w:webHidden/>
              </w:rPr>
              <w:fldChar w:fldCharType="begin"/>
            </w:r>
            <w:r>
              <w:rPr>
                <w:noProof/>
                <w:webHidden/>
              </w:rPr>
              <w:instrText xml:space="preserve"> PAGEREF _Toc168929532 \h </w:instrText>
            </w:r>
            <w:r>
              <w:rPr>
                <w:noProof/>
                <w:webHidden/>
              </w:rPr>
            </w:r>
            <w:r>
              <w:rPr>
                <w:noProof/>
                <w:webHidden/>
              </w:rPr>
              <w:fldChar w:fldCharType="separate"/>
            </w:r>
            <w:r>
              <w:rPr>
                <w:noProof/>
                <w:webHidden/>
              </w:rPr>
              <w:t>7</w:t>
            </w:r>
            <w:r>
              <w:rPr>
                <w:noProof/>
                <w:webHidden/>
              </w:rPr>
              <w:fldChar w:fldCharType="end"/>
            </w:r>
          </w:hyperlink>
        </w:p>
        <w:p w:rsidR="00194D68" w:rsidRDefault="00194D68" w14:paraId="4E9E3E6B" w14:textId="54ED484B">
          <w:pPr>
            <w:pStyle w:val="TOC2"/>
            <w:rPr>
              <w:rFonts w:asciiTheme="minorHAnsi" w:hAnsiTheme="minorHAnsi" w:cstheme="minorBidi"/>
              <w:noProof/>
              <w:kern w:val="2"/>
              <w:sz w:val="24"/>
              <w:szCs w:val="24"/>
              <w:lang w:val="en-GB" w:eastAsia="en-GB"/>
              <w14:ligatures w14:val="standardContextual"/>
            </w:rPr>
          </w:pPr>
          <w:hyperlink w:history="1" w:anchor="_Toc168929533">
            <w:r w:rsidRPr="0050655E">
              <w:rPr>
                <w:rStyle w:val="Hyperlink"/>
                <w:noProof/>
              </w:rPr>
              <w:t>Registration</w:t>
            </w:r>
            <w:r>
              <w:rPr>
                <w:noProof/>
                <w:webHidden/>
              </w:rPr>
              <w:tab/>
            </w:r>
            <w:r>
              <w:rPr>
                <w:noProof/>
                <w:webHidden/>
              </w:rPr>
              <w:fldChar w:fldCharType="begin"/>
            </w:r>
            <w:r>
              <w:rPr>
                <w:noProof/>
                <w:webHidden/>
              </w:rPr>
              <w:instrText xml:space="preserve"> PAGEREF _Toc168929533 \h </w:instrText>
            </w:r>
            <w:r>
              <w:rPr>
                <w:noProof/>
                <w:webHidden/>
              </w:rPr>
            </w:r>
            <w:r>
              <w:rPr>
                <w:noProof/>
                <w:webHidden/>
              </w:rPr>
              <w:fldChar w:fldCharType="separate"/>
            </w:r>
            <w:r>
              <w:rPr>
                <w:noProof/>
                <w:webHidden/>
              </w:rPr>
              <w:t>7</w:t>
            </w:r>
            <w:r>
              <w:rPr>
                <w:noProof/>
                <w:webHidden/>
              </w:rPr>
              <w:fldChar w:fldCharType="end"/>
            </w:r>
          </w:hyperlink>
        </w:p>
        <w:p w:rsidR="00194D68" w:rsidRDefault="00194D68" w14:paraId="27CD5C80" w14:textId="33BE715F">
          <w:pPr>
            <w:pStyle w:val="TOC2"/>
            <w:rPr>
              <w:rFonts w:asciiTheme="minorHAnsi" w:hAnsiTheme="minorHAnsi" w:cstheme="minorBidi"/>
              <w:noProof/>
              <w:kern w:val="2"/>
              <w:sz w:val="24"/>
              <w:szCs w:val="24"/>
              <w:lang w:val="en-GB" w:eastAsia="en-GB"/>
              <w14:ligatures w14:val="standardContextual"/>
            </w:rPr>
          </w:pPr>
          <w:hyperlink w:history="1" w:anchor="_Toc168929534">
            <w:r w:rsidRPr="0050655E">
              <w:rPr>
                <w:rStyle w:val="Hyperlink"/>
                <w:noProof/>
              </w:rPr>
              <w:t>Fraudulent applications</w:t>
            </w:r>
            <w:r>
              <w:rPr>
                <w:noProof/>
                <w:webHidden/>
              </w:rPr>
              <w:tab/>
            </w:r>
            <w:r>
              <w:rPr>
                <w:noProof/>
                <w:webHidden/>
              </w:rPr>
              <w:fldChar w:fldCharType="begin"/>
            </w:r>
            <w:r>
              <w:rPr>
                <w:noProof/>
                <w:webHidden/>
              </w:rPr>
              <w:instrText xml:space="preserve"> PAGEREF _Toc168929534 \h </w:instrText>
            </w:r>
            <w:r>
              <w:rPr>
                <w:noProof/>
                <w:webHidden/>
              </w:rPr>
            </w:r>
            <w:r>
              <w:rPr>
                <w:noProof/>
                <w:webHidden/>
              </w:rPr>
              <w:fldChar w:fldCharType="separate"/>
            </w:r>
            <w:r>
              <w:rPr>
                <w:noProof/>
                <w:webHidden/>
              </w:rPr>
              <w:t>8</w:t>
            </w:r>
            <w:r>
              <w:rPr>
                <w:noProof/>
                <w:webHidden/>
              </w:rPr>
              <w:fldChar w:fldCharType="end"/>
            </w:r>
          </w:hyperlink>
        </w:p>
        <w:p w:rsidR="00194D68" w:rsidRDefault="00194D68" w14:paraId="0C6254DF" w14:textId="0A927296">
          <w:pPr>
            <w:pStyle w:val="TOC1"/>
            <w:rPr>
              <w:rFonts w:asciiTheme="minorHAnsi" w:hAnsiTheme="minorHAnsi" w:cstheme="minorBidi"/>
              <w:noProof/>
              <w:kern w:val="2"/>
              <w:sz w:val="24"/>
              <w:szCs w:val="24"/>
              <w:lang w:val="en-GB" w:eastAsia="en-GB"/>
              <w14:ligatures w14:val="standardContextual"/>
            </w:rPr>
          </w:pPr>
          <w:hyperlink w:history="1" w:anchor="_Toc168929535">
            <w:r w:rsidRPr="0050655E">
              <w:rPr>
                <w:rStyle w:val="Hyperlink"/>
                <w:noProof/>
              </w:rPr>
              <w:t>7</w:t>
            </w:r>
            <w:r>
              <w:rPr>
                <w:rFonts w:asciiTheme="minorHAnsi" w:hAnsiTheme="minorHAnsi" w:cstheme="minorBidi"/>
                <w:noProof/>
                <w:kern w:val="2"/>
                <w:sz w:val="24"/>
                <w:szCs w:val="24"/>
                <w:lang w:val="en-GB" w:eastAsia="en-GB"/>
                <w14:ligatures w14:val="standardContextual"/>
              </w:rPr>
              <w:tab/>
            </w:r>
            <w:r w:rsidRPr="0050655E">
              <w:rPr>
                <w:rStyle w:val="Hyperlink"/>
                <w:noProof/>
              </w:rPr>
              <w:t>Evidence Required</w:t>
            </w:r>
            <w:r>
              <w:rPr>
                <w:noProof/>
                <w:webHidden/>
              </w:rPr>
              <w:tab/>
            </w:r>
            <w:r>
              <w:rPr>
                <w:noProof/>
                <w:webHidden/>
              </w:rPr>
              <w:fldChar w:fldCharType="begin"/>
            </w:r>
            <w:r>
              <w:rPr>
                <w:noProof/>
                <w:webHidden/>
              </w:rPr>
              <w:instrText xml:space="preserve"> PAGEREF _Toc168929535 \h </w:instrText>
            </w:r>
            <w:r>
              <w:rPr>
                <w:noProof/>
                <w:webHidden/>
              </w:rPr>
            </w:r>
            <w:r>
              <w:rPr>
                <w:noProof/>
                <w:webHidden/>
              </w:rPr>
              <w:fldChar w:fldCharType="separate"/>
            </w:r>
            <w:r>
              <w:rPr>
                <w:noProof/>
                <w:webHidden/>
              </w:rPr>
              <w:t>8</w:t>
            </w:r>
            <w:r>
              <w:rPr>
                <w:noProof/>
                <w:webHidden/>
              </w:rPr>
              <w:fldChar w:fldCharType="end"/>
            </w:r>
          </w:hyperlink>
        </w:p>
        <w:p w:rsidR="00194D68" w:rsidRDefault="00194D68" w14:paraId="335EB598" w14:textId="7019381B">
          <w:pPr>
            <w:pStyle w:val="TOC1"/>
            <w:rPr>
              <w:rFonts w:asciiTheme="minorHAnsi" w:hAnsiTheme="minorHAnsi" w:cstheme="minorBidi"/>
              <w:noProof/>
              <w:kern w:val="2"/>
              <w:sz w:val="24"/>
              <w:szCs w:val="24"/>
              <w:lang w:val="en-GB" w:eastAsia="en-GB"/>
              <w14:ligatures w14:val="standardContextual"/>
            </w:rPr>
          </w:pPr>
          <w:hyperlink w:history="1" w:anchor="_Toc168929536">
            <w:r w:rsidRPr="0050655E">
              <w:rPr>
                <w:rStyle w:val="Hyperlink"/>
                <w:noProof/>
              </w:rPr>
              <w:t>8</w:t>
            </w:r>
            <w:r>
              <w:rPr>
                <w:rFonts w:asciiTheme="minorHAnsi" w:hAnsiTheme="minorHAnsi" w:cstheme="minorBidi"/>
                <w:noProof/>
                <w:kern w:val="2"/>
                <w:sz w:val="24"/>
                <w:szCs w:val="24"/>
                <w:lang w:val="en-GB" w:eastAsia="en-GB"/>
                <w14:ligatures w14:val="standardContextual"/>
              </w:rPr>
              <w:tab/>
            </w:r>
            <w:r w:rsidRPr="0050655E">
              <w:rPr>
                <w:rStyle w:val="Hyperlink"/>
                <w:noProof/>
              </w:rPr>
              <w:t>RPCL</w:t>
            </w:r>
            <w:r>
              <w:rPr>
                <w:noProof/>
                <w:webHidden/>
              </w:rPr>
              <w:tab/>
            </w:r>
            <w:r>
              <w:rPr>
                <w:noProof/>
                <w:webHidden/>
              </w:rPr>
              <w:fldChar w:fldCharType="begin"/>
            </w:r>
            <w:r>
              <w:rPr>
                <w:noProof/>
                <w:webHidden/>
              </w:rPr>
              <w:instrText xml:space="preserve"> PAGEREF _Toc168929536 \h </w:instrText>
            </w:r>
            <w:r>
              <w:rPr>
                <w:noProof/>
                <w:webHidden/>
              </w:rPr>
            </w:r>
            <w:r>
              <w:rPr>
                <w:noProof/>
                <w:webHidden/>
              </w:rPr>
              <w:fldChar w:fldCharType="separate"/>
            </w:r>
            <w:r>
              <w:rPr>
                <w:noProof/>
                <w:webHidden/>
              </w:rPr>
              <w:t>8</w:t>
            </w:r>
            <w:r>
              <w:rPr>
                <w:noProof/>
                <w:webHidden/>
              </w:rPr>
              <w:fldChar w:fldCharType="end"/>
            </w:r>
          </w:hyperlink>
        </w:p>
        <w:p w:rsidR="00194D68" w:rsidRDefault="00194D68" w14:paraId="5369661A" w14:textId="4F5ADED4">
          <w:pPr>
            <w:pStyle w:val="TOC1"/>
            <w:rPr>
              <w:rFonts w:asciiTheme="minorHAnsi" w:hAnsiTheme="minorHAnsi" w:cstheme="minorBidi"/>
              <w:noProof/>
              <w:kern w:val="2"/>
              <w:sz w:val="24"/>
              <w:szCs w:val="24"/>
              <w:lang w:val="en-GB" w:eastAsia="en-GB"/>
              <w14:ligatures w14:val="standardContextual"/>
            </w:rPr>
          </w:pPr>
          <w:hyperlink w:history="1" w:anchor="_Toc168929537">
            <w:r w:rsidRPr="0050655E">
              <w:rPr>
                <w:rStyle w:val="Hyperlink"/>
                <w:noProof/>
              </w:rPr>
              <w:t>9</w:t>
            </w:r>
            <w:r>
              <w:rPr>
                <w:rFonts w:asciiTheme="minorHAnsi" w:hAnsiTheme="minorHAnsi" w:cstheme="minorBidi"/>
                <w:noProof/>
                <w:kern w:val="2"/>
                <w:sz w:val="24"/>
                <w:szCs w:val="24"/>
                <w:lang w:val="en-GB" w:eastAsia="en-GB"/>
                <w14:ligatures w14:val="standardContextual"/>
              </w:rPr>
              <w:tab/>
            </w:r>
            <w:r w:rsidRPr="0050655E">
              <w:rPr>
                <w:rStyle w:val="Hyperlink"/>
                <w:noProof/>
              </w:rPr>
              <w:t>RPEL</w:t>
            </w:r>
            <w:r>
              <w:rPr>
                <w:noProof/>
                <w:webHidden/>
              </w:rPr>
              <w:tab/>
            </w:r>
            <w:r>
              <w:rPr>
                <w:noProof/>
                <w:webHidden/>
              </w:rPr>
              <w:fldChar w:fldCharType="begin"/>
            </w:r>
            <w:r>
              <w:rPr>
                <w:noProof/>
                <w:webHidden/>
              </w:rPr>
              <w:instrText xml:space="preserve"> PAGEREF _Toc168929537 \h </w:instrText>
            </w:r>
            <w:r>
              <w:rPr>
                <w:noProof/>
                <w:webHidden/>
              </w:rPr>
            </w:r>
            <w:r>
              <w:rPr>
                <w:noProof/>
                <w:webHidden/>
              </w:rPr>
              <w:fldChar w:fldCharType="separate"/>
            </w:r>
            <w:r>
              <w:rPr>
                <w:noProof/>
                <w:webHidden/>
              </w:rPr>
              <w:t>9</w:t>
            </w:r>
            <w:r>
              <w:rPr>
                <w:noProof/>
                <w:webHidden/>
              </w:rPr>
              <w:fldChar w:fldCharType="end"/>
            </w:r>
          </w:hyperlink>
        </w:p>
        <w:p w:rsidR="00194D68" w:rsidRDefault="00194D68" w14:paraId="0D7EE424" w14:textId="6FE56A19">
          <w:pPr>
            <w:pStyle w:val="TOC1"/>
            <w:rPr>
              <w:rFonts w:asciiTheme="minorHAnsi" w:hAnsiTheme="minorHAnsi" w:cstheme="minorBidi"/>
              <w:noProof/>
              <w:kern w:val="2"/>
              <w:sz w:val="24"/>
              <w:szCs w:val="24"/>
              <w:lang w:val="en-GB" w:eastAsia="en-GB"/>
              <w14:ligatures w14:val="standardContextual"/>
            </w:rPr>
          </w:pPr>
          <w:hyperlink w:history="1" w:anchor="_Toc168929538">
            <w:r w:rsidRPr="0050655E">
              <w:rPr>
                <w:rStyle w:val="Hyperlink"/>
                <w:noProof/>
              </w:rPr>
              <w:t>10</w:t>
            </w:r>
            <w:r>
              <w:rPr>
                <w:rFonts w:asciiTheme="minorHAnsi" w:hAnsiTheme="minorHAnsi" w:cstheme="minorBidi"/>
                <w:noProof/>
                <w:kern w:val="2"/>
                <w:sz w:val="24"/>
                <w:szCs w:val="24"/>
                <w:lang w:val="en-GB" w:eastAsia="en-GB"/>
                <w14:ligatures w14:val="standardContextual"/>
              </w:rPr>
              <w:tab/>
            </w:r>
            <w:r w:rsidRPr="0050655E">
              <w:rPr>
                <w:rStyle w:val="Hyperlink"/>
                <w:noProof/>
              </w:rPr>
              <w:t>Monitoring and Review</w:t>
            </w:r>
            <w:r>
              <w:rPr>
                <w:noProof/>
                <w:webHidden/>
              </w:rPr>
              <w:tab/>
            </w:r>
            <w:r>
              <w:rPr>
                <w:noProof/>
                <w:webHidden/>
              </w:rPr>
              <w:fldChar w:fldCharType="begin"/>
            </w:r>
            <w:r>
              <w:rPr>
                <w:noProof/>
                <w:webHidden/>
              </w:rPr>
              <w:instrText xml:space="preserve"> PAGEREF _Toc168929538 \h </w:instrText>
            </w:r>
            <w:r>
              <w:rPr>
                <w:noProof/>
                <w:webHidden/>
              </w:rPr>
            </w:r>
            <w:r>
              <w:rPr>
                <w:noProof/>
                <w:webHidden/>
              </w:rPr>
              <w:fldChar w:fldCharType="separate"/>
            </w:r>
            <w:r>
              <w:rPr>
                <w:noProof/>
                <w:webHidden/>
              </w:rPr>
              <w:t>9</w:t>
            </w:r>
            <w:r>
              <w:rPr>
                <w:noProof/>
                <w:webHidden/>
              </w:rPr>
              <w:fldChar w:fldCharType="end"/>
            </w:r>
          </w:hyperlink>
        </w:p>
        <w:p w:rsidR="00194D68" w:rsidRDefault="00194D68" w14:paraId="5802F3BF" w14:textId="32E6B64A">
          <w:pPr>
            <w:pStyle w:val="TOC1"/>
            <w:rPr>
              <w:rFonts w:asciiTheme="minorHAnsi" w:hAnsiTheme="minorHAnsi" w:cstheme="minorBidi"/>
              <w:noProof/>
              <w:kern w:val="2"/>
              <w:sz w:val="24"/>
              <w:szCs w:val="24"/>
              <w:lang w:val="en-GB" w:eastAsia="en-GB"/>
              <w14:ligatures w14:val="standardContextual"/>
            </w:rPr>
          </w:pPr>
          <w:hyperlink w:history="1" w:anchor="_Toc168929539">
            <w:r w:rsidRPr="0050655E">
              <w:rPr>
                <w:rStyle w:val="Hyperlink"/>
                <w:noProof/>
              </w:rPr>
              <w:t>11</w:t>
            </w:r>
            <w:r>
              <w:rPr>
                <w:rFonts w:asciiTheme="minorHAnsi" w:hAnsiTheme="minorHAnsi" w:cstheme="minorBidi"/>
                <w:noProof/>
                <w:kern w:val="2"/>
                <w:sz w:val="24"/>
                <w:szCs w:val="24"/>
                <w:lang w:val="en-GB" w:eastAsia="en-GB"/>
                <w14:ligatures w14:val="standardContextual"/>
              </w:rPr>
              <w:tab/>
            </w:r>
            <w:r w:rsidRPr="0050655E">
              <w:rPr>
                <w:rStyle w:val="Hyperlink"/>
                <w:noProof/>
              </w:rPr>
              <w:t>Version control</w:t>
            </w:r>
            <w:r>
              <w:rPr>
                <w:noProof/>
                <w:webHidden/>
              </w:rPr>
              <w:tab/>
            </w:r>
            <w:r>
              <w:rPr>
                <w:noProof/>
                <w:webHidden/>
              </w:rPr>
              <w:fldChar w:fldCharType="begin"/>
            </w:r>
            <w:r>
              <w:rPr>
                <w:noProof/>
                <w:webHidden/>
              </w:rPr>
              <w:instrText xml:space="preserve"> PAGEREF _Toc168929539 \h </w:instrText>
            </w:r>
            <w:r>
              <w:rPr>
                <w:noProof/>
                <w:webHidden/>
              </w:rPr>
            </w:r>
            <w:r>
              <w:rPr>
                <w:noProof/>
                <w:webHidden/>
              </w:rPr>
              <w:fldChar w:fldCharType="separate"/>
            </w:r>
            <w:r>
              <w:rPr>
                <w:noProof/>
                <w:webHidden/>
              </w:rPr>
              <w:t>10</w:t>
            </w:r>
            <w:r>
              <w:rPr>
                <w:noProof/>
                <w:webHidden/>
              </w:rPr>
              <w:fldChar w:fldCharType="end"/>
            </w:r>
          </w:hyperlink>
        </w:p>
        <w:p w:rsidR="00F24D55" w:rsidRDefault="00F24D55" w14:paraId="79CE4072" w14:textId="044DC8D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A96B3D" w14:paraId="1027AF12" w14:textId="190045B1">
          <w:pPr>
            <w:pStyle w:val="PolicyTitle"/>
            <w:spacing w:after="360" w:line="240" w:lineRule="auto"/>
            <w:rPr>
              <w:sz w:val="36"/>
              <w:szCs w:val="36"/>
            </w:rPr>
          </w:pPr>
          <w:r>
            <w:t>Recognition of Prior Certificated and Experiential Learning</w:t>
          </w:r>
        </w:p>
      </w:sdtContent>
    </w:sdt>
    <w:p w:rsidR="00BC5840" w:rsidP="0014467F" w:rsidRDefault="005A6998" w14:paraId="1470D4D5" w14:textId="37903655">
      <w:pPr>
        <w:pStyle w:val="Heading1"/>
      </w:pPr>
      <w:bookmarkStart w:name="_Toc168929519" w:id="0"/>
      <w:r w:rsidRPr="00A96B3D">
        <w:t>Introduction</w:t>
      </w:r>
      <w:bookmarkEnd w:id="0"/>
    </w:p>
    <w:p w:rsidRPr="00A96B3D" w:rsidR="00A96B3D" w:rsidP="00A96B3D" w:rsidRDefault="00A96B3D" w14:paraId="49FB0945" w14:textId="77777777">
      <w:pPr>
        <w:pStyle w:val="MainBullet"/>
        <w:rPr>
          <w:lang w:val="en-GB" w:eastAsia="zh-CN"/>
        </w:rPr>
      </w:pPr>
      <w:r w:rsidRPr="00A96B3D">
        <w:rPr>
          <w:lang w:val="en-GB" w:eastAsia="zh-CN"/>
        </w:rPr>
        <w:t xml:space="preserve">This Code is informed by the UK Quality Code for Higher Education Advice and Guidance on Assessment published by the Quality Assurance Agency (QAA) in November 2018. </w:t>
      </w:r>
    </w:p>
    <w:p w:rsidRPr="00A96B3D" w:rsidR="00A96B3D" w:rsidP="00A96B3D" w:rsidRDefault="00A96B3D" w14:paraId="3E9F7C6D" w14:textId="77777777">
      <w:pPr>
        <w:pStyle w:val="MainBullet"/>
        <w:rPr>
          <w:lang w:val="en-GB" w:eastAsia="zh-CN"/>
        </w:rPr>
      </w:pPr>
      <w:r w:rsidRPr="00A96B3D">
        <w:rPr>
          <w:lang w:val="en-GB" w:eastAsia="zh-CN"/>
        </w:rPr>
        <w:t xml:space="preserve">The following sets out the University’s expectations relating to the recognition of prior learning (RPL), both certificated (via an academic transcript or equivalent - RPCL) and experiential (via a portfolio of evidence - RPEL) and provides guidance to staff responsible for making decisions in individual cases. The document </w:t>
      </w:r>
      <w:r w:rsidRPr="00AB3C14">
        <w:rPr>
          <w:b/>
          <w:bCs w:val="0"/>
          <w:lang w:val="en-GB" w:eastAsia="zh-CN"/>
        </w:rPr>
        <w:t>must</w:t>
      </w:r>
      <w:r w:rsidRPr="00A96B3D">
        <w:rPr>
          <w:lang w:val="en-GB" w:eastAsia="zh-CN"/>
        </w:rPr>
        <w:t xml:space="preserve"> be read in conjunction with the University Programme Regulations applicable to the award.</w:t>
      </w:r>
    </w:p>
    <w:p w:rsidR="00A96B3D" w:rsidP="00A96B3D" w:rsidRDefault="00A96B3D" w14:paraId="07752BB5" w14:textId="77777777">
      <w:pPr>
        <w:pStyle w:val="MainBullet"/>
        <w:rPr>
          <w:lang w:val="en-GB" w:eastAsia="zh-CN"/>
        </w:rPr>
      </w:pPr>
      <w:r w:rsidRPr="00A96B3D">
        <w:rPr>
          <w:lang w:val="en-GB" w:eastAsia="zh-CN"/>
        </w:rPr>
        <w:t>Where the term ‘student’ is used, this includes apprentices, trainees and any other learner.</w:t>
      </w:r>
    </w:p>
    <w:p w:rsidR="002A12C1" w:rsidP="002A12C1" w:rsidRDefault="002A12C1" w14:paraId="1754232D" w14:textId="321C377A">
      <w:pPr>
        <w:pStyle w:val="Heading2"/>
        <w:numPr>
          <w:ilvl w:val="0"/>
          <w:numId w:val="0"/>
        </w:numPr>
        <w:ind w:left="680"/>
      </w:pPr>
      <w:bookmarkStart w:name="_Toc168929520" w:id="1"/>
      <w:r>
        <w:t>Authority</w:t>
      </w:r>
      <w:bookmarkEnd w:id="1"/>
    </w:p>
    <w:p w:rsidRPr="00A96B3D" w:rsidR="00A96B3D" w:rsidP="00A96B3D" w:rsidRDefault="00A96B3D" w14:paraId="2A719880" w14:textId="69937DE5">
      <w:pPr>
        <w:pStyle w:val="MainBullet"/>
        <w:rPr>
          <w:lang w:val="en-GB" w:eastAsia="zh-CN"/>
        </w:rPr>
      </w:pPr>
      <w:r w:rsidRPr="00A96B3D">
        <w:rPr>
          <w:lang w:val="en-GB" w:eastAsia="zh-CN"/>
        </w:rPr>
        <w:t>University Education Committee is the final arbiter of the interpretation and application of this code of practice.</w:t>
      </w:r>
    </w:p>
    <w:p w:rsidR="00AD62EF" w:rsidP="002A12C1" w:rsidRDefault="00A96B3D" w14:paraId="73A8E4C2" w14:textId="282FF529">
      <w:pPr>
        <w:pStyle w:val="Heading2"/>
        <w:numPr>
          <w:ilvl w:val="0"/>
          <w:numId w:val="0"/>
        </w:numPr>
        <w:ind w:left="680"/>
      </w:pPr>
      <w:bookmarkStart w:name="_Toc168929521" w:id="2"/>
      <w:r>
        <w:t>Application to Collaborative Provision</w:t>
      </w:r>
      <w:bookmarkEnd w:id="2"/>
    </w:p>
    <w:p w:rsidRPr="00A96B3D" w:rsidR="00A96B3D" w:rsidP="00A96B3D" w:rsidRDefault="00A96B3D" w14:paraId="40DBB870" w14:textId="77777777">
      <w:pPr>
        <w:pStyle w:val="MainBullet"/>
        <w:rPr>
          <w:lang w:val="en-GB" w:eastAsia="zh-CN"/>
        </w:rPr>
      </w:pPr>
      <w:r w:rsidRPr="00A96B3D">
        <w:rPr>
          <w:lang w:val="en-GB" w:eastAsia="zh-CN"/>
        </w:rPr>
        <w:t>The University defines ‘collaborative provision’ as provision delivered in whole, or in part, by the staff of a partner organisation (whether FE institution or other, whether publicly funded or not, whether UK-based or TNE) irrespective of the location or mode of delivery and leading to credit or an award of the University of Hull.</w:t>
      </w:r>
    </w:p>
    <w:p w:rsidRPr="00A96B3D" w:rsidR="00A96B3D" w:rsidP="00A96B3D" w:rsidRDefault="00A96B3D" w14:paraId="483F846B" w14:textId="77777777">
      <w:pPr>
        <w:pStyle w:val="MainBullet"/>
        <w:rPr>
          <w:lang w:val="en-GB" w:eastAsia="zh-CN"/>
        </w:rPr>
      </w:pPr>
      <w:r w:rsidRPr="00A96B3D">
        <w:rPr>
          <w:lang w:val="en-GB" w:eastAsia="zh-CN"/>
        </w:rPr>
        <w:t xml:space="preserve">Partners </w:t>
      </w:r>
      <w:r w:rsidRPr="00AB3C14">
        <w:rPr>
          <w:b/>
          <w:bCs w:val="0"/>
          <w:lang w:val="en-GB" w:eastAsia="zh-CN"/>
        </w:rPr>
        <w:t xml:space="preserve">must </w:t>
      </w:r>
      <w:r w:rsidRPr="00A96B3D">
        <w:rPr>
          <w:lang w:val="en-GB" w:eastAsia="zh-CN"/>
        </w:rPr>
        <w:t xml:space="preserve">have in place procedures for determining applications for RPL equivalent to those set out in this Code, and which reflect the University’s minimum expectations as to the amount of learning which may be attributed towards a given award of the University. </w:t>
      </w:r>
    </w:p>
    <w:p w:rsidRPr="00A96B3D" w:rsidR="00A96B3D" w:rsidP="00A96B3D" w:rsidRDefault="00A96B3D" w14:paraId="3B78DBF6" w14:textId="1D8B895C">
      <w:pPr>
        <w:pStyle w:val="MainBullet"/>
        <w:rPr>
          <w:lang w:val="en-GB" w:eastAsia="zh-CN"/>
        </w:rPr>
      </w:pPr>
      <w:r w:rsidRPr="00A96B3D">
        <w:rPr>
          <w:lang w:val="en-GB" w:eastAsia="zh-CN"/>
        </w:rPr>
        <w:t xml:space="preserve">Where the partner has been granted admissions devolution by the University the partner is authorised to make the final decision for RPL applications relating to any programme which the partner has University approval to deliver. Where devolution has not been granted the relevant University academic unit </w:t>
      </w:r>
      <w:r w:rsidRPr="00AB3C14">
        <w:rPr>
          <w:b/>
          <w:bCs w:val="0"/>
          <w:lang w:val="en-GB" w:eastAsia="zh-CN"/>
        </w:rPr>
        <w:t xml:space="preserve">must </w:t>
      </w:r>
      <w:r w:rsidRPr="00A96B3D">
        <w:rPr>
          <w:lang w:val="en-GB" w:eastAsia="zh-CN"/>
        </w:rPr>
        <w:t xml:space="preserve">make the final decision.  In instances where the same programme is delivered by multiple partners there </w:t>
      </w:r>
      <w:r w:rsidRPr="00AB3C14">
        <w:rPr>
          <w:b/>
          <w:bCs w:val="0"/>
          <w:lang w:val="en-GB" w:eastAsia="zh-CN"/>
        </w:rPr>
        <w:t>must</w:t>
      </w:r>
      <w:r w:rsidRPr="00A96B3D">
        <w:rPr>
          <w:lang w:val="en-GB" w:eastAsia="zh-CN"/>
        </w:rPr>
        <w:t xml:space="preserve"> be one locus of decision-making for RPL claims regardless of the number of partners delivering that programme.</w:t>
      </w:r>
    </w:p>
    <w:p w:rsidR="00617924" w:rsidP="009D0825" w:rsidRDefault="00A96B3D" w14:paraId="488384CC" w14:textId="29F31F39">
      <w:pPr>
        <w:pStyle w:val="Heading1"/>
      </w:pPr>
      <w:bookmarkStart w:name="_Toc168929522" w:id="3"/>
      <w:r>
        <w:t>Terminology</w:t>
      </w:r>
      <w:bookmarkEnd w:id="3"/>
    </w:p>
    <w:p w:rsidR="00A96B3D" w:rsidP="00A96B3D" w:rsidRDefault="00A96B3D" w14:paraId="2613BF67" w14:textId="77777777">
      <w:pPr>
        <w:pStyle w:val="MainBullet"/>
        <w:rPr>
          <w:lang w:val="en-GB" w:eastAsia="zh-CN"/>
        </w:rPr>
      </w:pPr>
      <w:r w:rsidRPr="00A96B3D">
        <w:rPr>
          <w:lang w:val="en-GB" w:eastAsia="zh-CN"/>
        </w:rPr>
        <w:t>The University recognises RPL in two situations:</w:t>
      </w:r>
    </w:p>
    <w:p w:rsidR="00A96B3D" w:rsidP="00A96B3D" w:rsidRDefault="00A96B3D" w14:paraId="5BB3E007" w14:textId="77777777">
      <w:pPr>
        <w:pStyle w:val="MainBullet"/>
        <w:numPr>
          <w:ilvl w:val="0"/>
          <w:numId w:val="29"/>
        </w:numPr>
        <w:rPr>
          <w:lang w:val="en-GB" w:eastAsia="zh-CN"/>
        </w:rPr>
      </w:pPr>
      <w:r w:rsidRPr="00A96B3D">
        <w:rPr>
          <w:lang w:val="en-GB" w:eastAsia="zh-CN"/>
        </w:rPr>
        <w:t>recognition of prior learning that will permit entry only at the beginning of a programme - referred to as ‘matriculation’ or ‘general credit’.</w:t>
      </w:r>
    </w:p>
    <w:p w:rsidRPr="00A96B3D" w:rsidR="00A96B3D" w:rsidP="00A96B3D" w:rsidRDefault="00A96B3D" w14:paraId="68E56A31" w14:textId="20D30D59">
      <w:pPr>
        <w:pStyle w:val="MainBullet"/>
        <w:numPr>
          <w:ilvl w:val="0"/>
          <w:numId w:val="29"/>
        </w:numPr>
        <w:rPr>
          <w:lang w:val="en-GB" w:eastAsia="zh-CN"/>
        </w:rPr>
      </w:pPr>
      <w:r w:rsidRPr="00A96B3D">
        <w:rPr>
          <w:lang w:val="en-GB" w:eastAsia="zh-CN"/>
        </w:rPr>
        <w:t xml:space="preserve">recognition of prior learning that permits entry to a programme at a later stage or with exemption from some aspects of the programme on the basis that the RPL demonstrates achievement of some of the intended learning outcomes/competencies of the programme (taking into account content and level) - referred to as ‘specific credit’. Specific credit is also referred to as ‘classifiable credit’ where it contributes to the final classification of an Honours degree. Only credit earned on modules/programmes leading to credit or an award of the University of Hull is classifiable. This code deals with specific </w:t>
      </w:r>
      <w:r w:rsidRPr="00A96B3D">
        <w:rPr>
          <w:lang w:val="en-GB" w:eastAsia="zh-CN"/>
        </w:rPr>
        <w:lastRenderedPageBreak/>
        <w:t>credit.</w:t>
      </w:r>
    </w:p>
    <w:p w:rsidRPr="00A96B3D" w:rsidR="00A96B3D" w:rsidP="00A96B3D" w:rsidRDefault="00A96B3D" w14:paraId="5AB29A9A" w14:textId="5B86E644">
      <w:pPr>
        <w:pStyle w:val="MainBullet"/>
        <w:rPr>
          <w:lang w:val="en-GB" w:eastAsia="zh-CN"/>
        </w:rPr>
      </w:pPr>
      <w:r w:rsidRPr="00A96B3D">
        <w:rPr>
          <w:lang w:val="en-GB" w:eastAsia="zh-CN"/>
        </w:rPr>
        <w:t xml:space="preserve">The scope of admissions regulations notwithstanding this Code of Practice refers solely to the form of RPL referred to in </w:t>
      </w:r>
      <w:r w:rsidR="00AB3C14">
        <w:rPr>
          <w:lang w:val="en-GB" w:eastAsia="zh-CN"/>
        </w:rPr>
        <w:t>3</w:t>
      </w:r>
      <w:r w:rsidRPr="00A96B3D">
        <w:rPr>
          <w:lang w:val="en-GB" w:eastAsia="zh-CN"/>
        </w:rPr>
        <w:t>.1(b) above.</w:t>
      </w:r>
    </w:p>
    <w:p w:rsidRPr="00AB3C14" w:rsidR="00AB3C14" w:rsidP="00AB3C14" w:rsidRDefault="00AB3C14" w14:paraId="26DA1C24" w14:textId="77777777">
      <w:pPr>
        <w:pStyle w:val="MainBullet"/>
        <w:rPr>
          <w:lang w:val="en-GB" w:eastAsia="zh-CN"/>
        </w:rPr>
      </w:pPr>
      <w:r w:rsidRPr="00AB3C14">
        <w:rPr>
          <w:lang w:val="en-GB" w:eastAsia="zh-CN"/>
        </w:rPr>
        <w:t>Recognition of prior learning is based on the identification and acknowledgement of equivalence between an applicant’s prior learning and the provision offered at the University of Hull. The University notes the following as appropriate for recognition of prior learning:</w:t>
      </w:r>
    </w:p>
    <w:p w:rsidR="00AB3C14" w:rsidP="00AB3C14" w:rsidRDefault="00AB3C14" w14:paraId="53DC6A7C" w14:textId="229871E4">
      <w:pPr>
        <w:pStyle w:val="MainBullet"/>
        <w:numPr>
          <w:ilvl w:val="0"/>
          <w:numId w:val="30"/>
        </w:numPr>
        <w:rPr>
          <w:lang w:val="en-GB" w:eastAsia="zh-CN"/>
        </w:rPr>
      </w:pPr>
      <w:r w:rsidRPr="00AB3C14">
        <w:rPr>
          <w:lang w:val="en-GB" w:eastAsia="zh-CN"/>
        </w:rPr>
        <w:t>Credits awarded by the University of Hull through a programme leading to a University of Hull award or individual University modules (whether delivered by university staff or staff of a partner</w:t>
      </w:r>
      <w:r w:rsidRPr="00AB3C14" w:rsidR="008D4A8E">
        <w:rPr>
          <w:lang w:val="en-GB" w:eastAsia="zh-CN"/>
        </w:rPr>
        <w:t>).</w:t>
      </w:r>
    </w:p>
    <w:p w:rsidR="00AB3C14" w:rsidP="00AB3C14" w:rsidRDefault="00AB3C14" w14:paraId="6FB04999" w14:textId="26BB01A0">
      <w:pPr>
        <w:pStyle w:val="MainBullet"/>
        <w:numPr>
          <w:ilvl w:val="0"/>
          <w:numId w:val="30"/>
        </w:numPr>
        <w:rPr>
          <w:lang w:val="en-GB" w:eastAsia="zh-CN"/>
        </w:rPr>
      </w:pPr>
      <w:r w:rsidRPr="00AB3C14">
        <w:rPr>
          <w:lang w:val="en-GB" w:eastAsia="zh-CN"/>
        </w:rPr>
        <w:t xml:space="preserve">Credits or previous learning awarded by a recognised UK or overseas higher education </w:t>
      </w:r>
      <w:r w:rsidRPr="00AB3C14" w:rsidR="008D4A8E">
        <w:rPr>
          <w:lang w:val="en-GB" w:eastAsia="zh-CN"/>
        </w:rPr>
        <w:t>institution.</w:t>
      </w:r>
    </w:p>
    <w:p w:rsidR="00AB3C14" w:rsidP="00AB3C14" w:rsidRDefault="00AB3C14" w14:paraId="46505738" w14:textId="37F4DBC0">
      <w:pPr>
        <w:pStyle w:val="MainBullet"/>
        <w:numPr>
          <w:ilvl w:val="0"/>
          <w:numId w:val="30"/>
        </w:numPr>
        <w:rPr>
          <w:lang w:val="en-GB" w:eastAsia="zh-CN"/>
        </w:rPr>
      </w:pPr>
      <w:r w:rsidRPr="00AB3C14">
        <w:rPr>
          <w:lang w:val="en-GB" w:eastAsia="zh-CN"/>
        </w:rPr>
        <w:t>Other certificated learning (e.g., from a professional body</w:t>
      </w:r>
      <w:r w:rsidRPr="00AB3C14" w:rsidR="008D4A8E">
        <w:rPr>
          <w:lang w:val="en-GB" w:eastAsia="zh-CN"/>
        </w:rPr>
        <w:t>).</w:t>
      </w:r>
    </w:p>
    <w:p w:rsidRPr="00AB3C14" w:rsidR="00A96B3D" w:rsidP="00AB3C14" w:rsidRDefault="00AB3C14" w14:paraId="307EAA43" w14:textId="1DB8E08B">
      <w:pPr>
        <w:pStyle w:val="MainBullet"/>
        <w:numPr>
          <w:ilvl w:val="0"/>
          <w:numId w:val="30"/>
        </w:numPr>
        <w:rPr>
          <w:lang w:val="en-GB" w:eastAsia="zh-CN"/>
        </w:rPr>
      </w:pPr>
      <w:r w:rsidRPr="00AB3C14">
        <w:rPr>
          <w:lang w:val="en-GB" w:eastAsia="zh-CN"/>
        </w:rPr>
        <w:t>Experiential (non-certificated) learning.</w:t>
      </w:r>
    </w:p>
    <w:p w:rsidR="00FD7549" w:rsidP="009D0825" w:rsidRDefault="00117636" w14:paraId="1CCF9CA3" w14:textId="03ECCE2E">
      <w:pPr>
        <w:pStyle w:val="Heading1"/>
      </w:pPr>
      <w:bookmarkStart w:name="_Toc168929523" w:id="4"/>
      <w:r w:rsidRPr="00780B17">
        <w:t>P</w:t>
      </w:r>
      <w:r w:rsidR="00AB3C14">
        <w:t>rogression Agreements</w:t>
      </w:r>
      <w:bookmarkEnd w:id="4"/>
    </w:p>
    <w:p w:rsidRPr="00AB3C14" w:rsidR="00AB3C14" w:rsidP="00AB3C14" w:rsidRDefault="00AB3C14" w14:paraId="7259150A" w14:textId="0B94340F">
      <w:pPr>
        <w:pStyle w:val="MainBullet"/>
        <w:rPr>
          <w:lang w:val="en-GB" w:eastAsia="zh-CN"/>
        </w:rPr>
      </w:pPr>
      <w:r w:rsidRPr="00AB3C14">
        <w:rPr>
          <w:lang w:val="en-GB" w:eastAsia="zh-CN"/>
        </w:rPr>
        <w:t xml:space="preserve">This code applies to the consideration of applications for RPL by individuals - whether applicants to the University, or current students. It does not apply to applicants seeking RPL through a ‘progression agreement’ between the University and another body - whether UK-based or based overseas, although the principles applied to progression agreements are comparable to those for individual RPL applications. A progression agreement is valid only if it has been approved in accordance with the relevant code of practice. Opportunities for progression agreements </w:t>
      </w:r>
      <w:r w:rsidRPr="00AB3C14">
        <w:rPr>
          <w:b/>
          <w:bCs w:val="0"/>
          <w:lang w:val="en-GB" w:eastAsia="zh-CN"/>
        </w:rPr>
        <w:t>must</w:t>
      </w:r>
      <w:r w:rsidRPr="00AB3C14">
        <w:rPr>
          <w:lang w:val="en-GB" w:eastAsia="zh-CN"/>
        </w:rPr>
        <w:t xml:space="preserve"> be discussed with the Quality Support Service and/or the Global Student Recruitment Team at the earliest opportunity. The University’s approved progression agreements are published in the University’s Register of Collaborative Provision. </w:t>
      </w:r>
    </w:p>
    <w:p w:rsidR="00523039" w:rsidP="00523039" w:rsidRDefault="00AB3C14" w14:paraId="52ADC498" w14:textId="30D0FE24">
      <w:pPr>
        <w:pStyle w:val="Heading1"/>
      </w:pPr>
      <w:bookmarkStart w:name="_Toc168929524" w:id="5"/>
      <w:r>
        <w:t>RPL Limitations</w:t>
      </w:r>
      <w:bookmarkEnd w:id="5"/>
    </w:p>
    <w:p w:rsidRPr="00AB3C14" w:rsidR="00AB3C14" w:rsidP="00AB3C14" w:rsidRDefault="00AB3C14" w14:paraId="6C8FC5DE" w14:textId="77777777">
      <w:pPr>
        <w:pStyle w:val="MainBullet"/>
        <w:rPr>
          <w:lang w:val="en-GB" w:eastAsia="zh-CN"/>
        </w:rPr>
      </w:pPr>
      <w:r w:rsidRPr="00AB3C14">
        <w:rPr>
          <w:lang w:val="en-GB" w:eastAsia="zh-CN"/>
        </w:rPr>
        <w:t xml:space="preserve">University Programme Regulations define the limitations which the University deems appropriate for consideration of RPL applications. These limitations apply to all University of Hull awards irrespective of whether the provision leading to the award is delivered by the University or collaboratively by a partner. </w:t>
      </w:r>
    </w:p>
    <w:p w:rsidRPr="00AB3C14" w:rsidR="00AB3C14" w:rsidP="00AB3C14" w:rsidRDefault="00AB3C14" w14:paraId="62A6D241" w14:textId="77777777">
      <w:pPr>
        <w:pStyle w:val="MainBullet"/>
        <w:rPr>
          <w:lang w:val="en-GB" w:eastAsia="zh-CN"/>
        </w:rPr>
      </w:pPr>
      <w:r w:rsidRPr="00AB3C14">
        <w:rPr>
          <w:lang w:val="en-GB" w:eastAsia="zh-CN"/>
        </w:rPr>
        <w:t xml:space="preserve">Where an award is regulated by a Professional Statutory or Regulatory Body (PSRB) and/or underpins an apprenticeship, RPL </w:t>
      </w:r>
      <w:r w:rsidRPr="00AB3C14">
        <w:rPr>
          <w:b/>
          <w:bCs w:val="0"/>
          <w:lang w:val="en-GB" w:eastAsia="zh-CN"/>
        </w:rPr>
        <w:t xml:space="preserve">must </w:t>
      </w:r>
      <w:r w:rsidRPr="00AB3C14">
        <w:rPr>
          <w:lang w:val="en-GB" w:eastAsia="zh-CN"/>
        </w:rPr>
        <w:t>be considered in accordance with the relevant PSRB and/or Education Skills and Funding Agency regulations, where additional limitations may apply.</w:t>
      </w:r>
    </w:p>
    <w:p w:rsidR="002A12C1" w:rsidP="002A12C1" w:rsidRDefault="002A12C1" w14:paraId="6549CD17" w14:textId="23F0034A">
      <w:pPr>
        <w:pStyle w:val="Heading2"/>
        <w:numPr>
          <w:ilvl w:val="0"/>
          <w:numId w:val="0"/>
        </w:numPr>
        <w:ind w:left="680"/>
      </w:pPr>
      <w:bookmarkStart w:name="_Toc168929525" w:id="6"/>
      <w:r>
        <w:t>Whole modules</w:t>
      </w:r>
      <w:bookmarkEnd w:id="6"/>
    </w:p>
    <w:p w:rsidRPr="00AB3C14" w:rsidR="00AB3C14" w:rsidP="00AB3C14" w:rsidRDefault="00AB3C14" w14:paraId="75FA1069" w14:textId="66625452">
      <w:pPr>
        <w:pStyle w:val="MainBullet"/>
        <w:rPr>
          <w:lang w:val="en-GB" w:eastAsia="zh-CN"/>
        </w:rPr>
      </w:pPr>
      <w:r w:rsidRPr="00AB3C14">
        <w:rPr>
          <w:lang w:val="en-GB" w:eastAsia="zh-CN"/>
        </w:rPr>
        <w:t xml:space="preserve">Recognition of prior learning </w:t>
      </w:r>
      <w:r w:rsidRPr="00AB3C14">
        <w:rPr>
          <w:b/>
          <w:bCs w:val="0"/>
          <w:lang w:val="en-GB" w:eastAsia="zh-CN"/>
        </w:rPr>
        <w:t xml:space="preserve">must </w:t>
      </w:r>
      <w:r w:rsidRPr="00AB3C14">
        <w:rPr>
          <w:lang w:val="en-GB" w:eastAsia="zh-CN"/>
        </w:rPr>
        <w:t xml:space="preserve">only be granted in respect of </w:t>
      </w:r>
      <w:r w:rsidRPr="002A12C1">
        <w:rPr>
          <w:lang w:val="en-GB" w:eastAsia="zh-CN"/>
        </w:rPr>
        <w:t>whole modules.</w:t>
      </w:r>
    </w:p>
    <w:p w:rsidRPr="002A12C1" w:rsidR="002A12C1" w:rsidP="002A12C1" w:rsidRDefault="00AB3C14" w14:paraId="25218D08" w14:textId="2ABE3D83">
      <w:pPr>
        <w:pStyle w:val="Heading2"/>
        <w:numPr>
          <w:ilvl w:val="0"/>
          <w:numId w:val="0"/>
        </w:numPr>
        <w:ind w:left="680"/>
      </w:pPr>
      <w:bookmarkStart w:name="_Toc168929526" w:id="7"/>
      <w:r w:rsidRPr="002A12C1">
        <w:t>Reuse of Credit</w:t>
      </w:r>
      <w:bookmarkEnd w:id="7"/>
      <w:r w:rsidRPr="002A12C1">
        <w:t xml:space="preserve"> </w:t>
      </w:r>
    </w:p>
    <w:p w:rsidRPr="00AB3C14" w:rsidR="00AB3C14" w:rsidP="00AB3C14" w:rsidRDefault="00AB3C14" w14:paraId="488AD291" w14:textId="49BAFA4F">
      <w:pPr>
        <w:pStyle w:val="MainBullet"/>
        <w:rPr>
          <w:lang w:val="en-GB" w:eastAsia="zh-CN"/>
        </w:rPr>
      </w:pPr>
      <w:r>
        <w:rPr>
          <w:lang w:val="en-GB" w:eastAsia="zh-CN"/>
        </w:rPr>
        <w:t>c</w:t>
      </w:r>
      <w:r w:rsidRPr="00AB3C14">
        <w:rPr>
          <w:lang w:val="en-GB" w:eastAsia="zh-CN"/>
        </w:rPr>
        <w:t xml:space="preserve">redit which has previously been used - or ‘cashed in’ - as part of an award (whether awarded by the University of Hull or another degree awarding body) </w:t>
      </w:r>
      <w:r w:rsidRPr="00AB3C14">
        <w:rPr>
          <w:b/>
          <w:bCs w:val="0"/>
          <w:lang w:val="en-GB" w:eastAsia="zh-CN"/>
        </w:rPr>
        <w:t>must</w:t>
      </w:r>
      <w:r w:rsidRPr="00AB3C14">
        <w:rPr>
          <w:lang w:val="en-GB" w:eastAsia="zh-CN"/>
        </w:rPr>
        <w:t xml:space="preserve"> not be used towards a further award unless the first award forms a recognised stage of the second award. For example, credits comprising a Certificate in HE (level 4) may not be used towards a second Certificate but may be used towards a Diploma or Honours degree. A </w:t>
      </w:r>
      <w:r w:rsidRPr="00AB3C14">
        <w:rPr>
          <w:lang w:val="en-GB" w:eastAsia="zh-CN"/>
        </w:rPr>
        <w:lastRenderedPageBreak/>
        <w:t>Foundation Degree can be used to permit entry to the Honours stage of an Honours degree.</w:t>
      </w:r>
    </w:p>
    <w:p w:rsidR="00523039" w:rsidP="00523039" w:rsidRDefault="00AB3C14" w14:paraId="53ECD9FD" w14:textId="1F6CA01F">
      <w:pPr>
        <w:pStyle w:val="Heading1"/>
      </w:pPr>
      <w:bookmarkStart w:name="_Toc168929527" w:id="8"/>
      <w:r>
        <w:t>RPL Maxima</w:t>
      </w:r>
      <w:bookmarkEnd w:id="8"/>
    </w:p>
    <w:p w:rsidR="00AB3C14" w:rsidP="00AB3C14" w:rsidRDefault="00AB3C14" w14:paraId="4FF57FE7" w14:textId="77777777">
      <w:pPr>
        <w:pStyle w:val="MainBullet"/>
        <w:rPr>
          <w:lang w:val="en-GB" w:eastAsia="zh-CN"/>
        </w:rPr>
      </w:pPr>
      <w:r w:rsidRPr="00AB3C14">
        <w:rPr>
          <w:lang w:val="en-GB" w:eastAsia="zh-CN"/>
        </w:rPr>
        <w:t xml:space="preserve">The University limits the amount of an award which may be achieved through RPL and requires that candidates </w:t>
      </w:r>
      <w:r w:rsidRPr="00AB3C14">
        <w:rPr>
          <w:b/>
          <w:bCs w:val="0"/>
          <w:lang w:val="en-GB" w:eastAsia="zh-CN"/>
        </w:rPr>
        <w:t>must</w:t>
      </w:r>
      <w:r w:rsidRPr="00AB3C14">
        <w:rPr>
          <w:lang w:val="en-GB" w:eastAsia="zh-CN"/>
        </w:rPr>
        <w:t xml:space="preserve"> at least complete the final stage of the award sought (with limited exceptions). The following maxima apply:</w:t>
      </w:r>
    </w:p>
    <w:tbl>
      <w:tblPr>
        <w:tblStyle w:val="TableGrid"/>
        <w:tblW w:w="0" w:type="auto"/>
        <w:tblInd w:w="680" w:type="dxa"/>
        <w:tblLook w:val="04A0" w:firstRow="1" w:lastRow="0" w:firstColumn="1" w:lastColumn="0" w:noHBand="0" w:noVBand="1"/>
      </w:tblPr>
      <w:tblGrid>
        <w:gridCol w:w="2191"/>
        <w:gridCol w:w="2038"/>
        <w:gridCol w:w="2050"/>
        <w:gridCol w:w="2057"/>
      </w:tblGrid>
      <w:tr w:rsidR="00AB3C14" w:rsidTr="00AB3C14" w14:paraId="1DC1A2AE" w14:textId="77777777">
        <w:tc>
          <w:tcPr>
            <w:tcW w:w="2191" w:type="dxa"/>
            <w:shd w:val="clear" w:color="auto" w:fill="CCCCCC"/>
            <w:vAlign w:val="center"/>
          </w:tcPr>
          <w:p w:rsidR="00AB3C14" w:rsidP="00AB3C14" w:rsidRDefault="00AB3C14" w14:paraId="0A2C7C2D" w14:textId="0E1B276B">
            <w:pPr>
              <w:pStyle w:val="MainBullet"/>
              <w:numPr>
                <w:ilvl w:val="0"/>
                <w:numId w:val="0"/>
              </w:numPr>
              <w:rPr>
                <w:lang w:val="en-GB" w:eastAsia="zh-CN"/>
              </w:rPr>
            </w:pPr>
            <w:r w:rsidRPr="00E97F5B">
              <w:rPr>
                <w:b/>
              </w:rPr>
              <w:t>Award</w:t>
            </w:r>
          </w:p>
        </w:tc>
        <w:tc>
          <w:tcPr>
            <w:tcW w:w="2038" w:type="dxa"/>
            <w:shd w:val="clear" w:color="auto" w:fill="CCCCCC"/>
            <w:vAlign w:val="center"/>
          </w:tcPr>
          <w:p w:rsidR="00AB3C14" w:rsidP="00AB3C14" w:rsidRDefault="00AB3C14" w14:paraId="67A4876A" w14:textId="42C3D969">
            <w:pPr>
              <w:pStyle w:val="MainBullet"/>
              <w:numPr>
                <w:ilvl w:val="0"/>
                <w:numId w:val="0"/>
              </w:numPr>
              <w:rPr>
                <w:lang w:val="en-GB" w:eastAsia="zh-CN"/>
              </w:rPr>
            </w:pPr>
            <w:r w:rsidRPr="00E97F5B">
              <w:rPr>
                <w:b/>
              </w:rPr>
              <w:t>Credits for award</w:t>
            </w:r>
          </w:p>
        </w:tc>
        <w:tc>
          <w:tcPr>
            <w:tcW w:w="2050" w:type="dxa"/>
            <w:shd w:val="clear" w:color="auto" w:fill="CCCCCC"/>
            <w:vAlign w:val="center"/>
          </w:tcPr>
          <w:p w:rsidR="00AB3C14" w:rsidP="00AB3C14" w:rsidRDefault="00AB3C14" w14:paraId="2DEBC8C6" w14:textId="6E786B0E">
            <w:pPr>
              <w:pStyle w:val="MainBullet"/>
              <w:numPr>
                <w:ilvl w:val="0"/>
                <w:numId w:val="0"/>
              </w:numPr>
              <w:rPr>
                <w:lang w:val="en-GB" w:eastAsia="zh-CN"/>
              </w:rPr>
            </w:pPr>
            <w:r>
              <w:rPr>
                <w:b/>
              </w:rPr>
              <w:t>R</w:t>
            </w:r>
            <w:r w:rsidRPr="00E97F5B">
              <w:rPr>
                <w:b/>
              </w:rPr>
              <w:t>PL Permitted</w:t>
            </w:r>
          </w:p>
        </w:tc>
        <w:tc>
          <w:tcPr>
            <w:tcW w:w="2057" w:type="dxa"/>
            <w:shd w:val="clear" w:color="auto" w:fill="CCCCCC"/>
            <w:vAlign w:val="center"/>
          </w:tcPr>
          <w:p w:rsidR="00AB3C14" w:rsidP="00AB3C14" w:rsidRDefault="00AB3C14" w14:paraId="4982108C" w14:textId="1CAFF718">
            <w:pPr>
              <w:pStyle w:val="MainBullet"/>
              <w:numPr>
                <w:ilvl w:val="0"/>
                <w:numId w:val="0"/>
              </w:numPr>
              <w:rPr>
                <w:lang w:val="en-GB" w:eastAsia="zh-CN"/>
              </w:rPr>
            </w:pPr>
            <w:r w:rsidRPr="00E97F5B">
              <w:rPr>
                <w:b/>
              </w:rPr>
              <w:t>Final stage</w:t>
            </w:r>
          </w:p>
        </w:tc>
      </w:tr>
      <w:tr w:rsidR="00AB3C14" w:rsidTr="00AB3C14" w14:paraId="6075D43E" w14:textId="77777777">
        <w:tc>
          <w:tcPr>
            <w:tcW w:w="2191" w:type="dxa"/>
          </w:tcPr>
          <w:p w:rsidR="00AB3C14" w:rsidP="00AB3C14" w:rsidRDefault="00AB3C14" w14:paraId="288A9C31" w14:textId="25A702B3">
            <w:pPr>
              <w:pStyle w:val="MainBullet"/>
              <w:numPr>
                <w:ilvl w:val="0"/>
                <w:numId w:val="0"/>
              </w:numPr>
              <w:spacing w:before="0" w:after="0"/>
              <w:rPr>
                <w:lang w:val="en-GB" w:eastAsia="zh-CN"/>
              </w:rPr>
            </w:pPr>
            <w:r w:rsidRPr="00E97F5B">
              <w:t>University Certificates &amp; Diplomas (‘minor awards’)</w:t>
            </w:r>
          </w:p>
        </w:tc>
        <w:tc>
          <w:tcPr>
            <w:tcW w:w="2038" w:type="dxa"/>
          </w:tcPr>
          <w:p w:rsidR="00AB3C14" w:rsidP="00AB3C14" w:rsidRDefault="00AB3C14" w14:paraId="6896D95E" w14:textId="131F6299">
            <w:pPr>
              <w:pStyle w:val="MainBullet"/>
              <w:numPr>
                <w:ilvl w:val="0"/>
                <w:numId w:val="0"/>
              </w:numPr>
              <w:spacing w:before="0" w:after="0"/>
              <w:jc w:val="center"/>
              <w:rPr>
                <w:lang w:val="en-GB" w:eastAsia="zh-CN"/>
              </w:rPr>
            </w:pPr>
            <w:r w:rsidRPr="00E97F5B">
              <w:t>60</w:t>
            </w:r>
          </w:p>
        </w:tc>
        <w:tc>
          <w:tcPr>
            <w:tcW w:w="2050" w:type="dxa"/>
          </w:tcPr>
          <w:p w:rsidR="00AB3C14" w:rsidP="00AB3C14" w:rsidRDefault="00AB3C14" w14:paraId="7E1DD59E" w14:textId="36164BB1">
            <w:pPr>
              <w:pStyle w:val="MainBullet"/>
              <w:numPr>
                <w:ilvl w:val="0"/>
                <w:numId w:val="0"/>
              </w:numPr>
              <w:spacing w:before="0" w:after="0"/>
              <w:jc w:val="center"/>
              <w:rPr>
                <w:lang w:val="en-GB" w:eastAsia="zh-CN"/>
              </w:rPr>
            </w:pPr>
            <w:r w:rsidRPr="00E97F5B">
              <w:t>0</w:t>
            </w:r>
          </w:p>
        </w:tc>
        <w:tc>
          <w:tcPr>
            <w:tcW w:w="2057" w:type="dxa"/>
          </w:tcPr>
          <w:p w:rsidR="00AB3C14" w:rsidP="00AB3C14" w:rsidRDefault="00AB3C14" w14:paraId="599912DF" w14:textId="1062A36A">
            <w:pPr>
              <w:pStyle w:val="MainBullet"/>
              <w:numPr>
                <w:ilvl w:val="0"/>
                <w:numId w:val="0"/>
              </w:numPr>
              <w:spacing w:before="0" w:after="0"/>
              <w:jc w:val="center"/>
              <w:rPr>
                <w:lang w:val="en-GB" w:eastAsia="zh-CN"/>
              </w:rPr>
            </w:pPr>
            <w:r w:rsidRPr="00E97F5B">
              <w:t>(single stage)</w:t>
            </w:r>
          </w:p>
        </w:tc>
      </w:tr>
      <w:tr w:rsidR="00AB3C14" w:rsidTr="00AB3C14" w14:paraId="7D435E16" w14:textId="77777777">
        <w:tc>
          <w:tcPr>
            <w:tcW w:w="2191" w:type="dxa"/>
          </w:tcPr>
          <w:p w:rsidR="00AB3C14" w:rsidP="00AB3C14" w:rsidRDefault="00AB3C14" w14:paraId="235C498F" w14:textId="3323D261">
            <w:pPr>
              <w:pStyle w:val="MainBullet"/>
              <w:numPr>
                <w:ilvl w:val="0"/>
                <w:numId w:val="0"/>
              </w:numPr>
              <w:spacing w:before="0" w:after="0"/>
              <w:rPr>
                <w:lang w:val="en-GB" w:eastAsia="zh-CN"/>
              </w:rPr>
            </w:pPr>
            <w:r w:rsidRPr="00E97F5B">
              <w:t>Certificates in HE</w:t>
            </w:r>
          </w:p>
        </w:tc>
        <w:tc>
          <w:tcPr>
            <w:tcW w:w="2038" w:type="dxa"/>
          </w:tcPr>
          <w:p w:rsidR="00AB3C14" w:rsidP="00AB3C14" w:rsidRDefault="00AB3C14" w14:paraId="267EB02B" w14:textId="004AA7E9">
            <w:pPr>
              <w:pStyle w:val="MainBullet"/>
              <w:numPr>
                <w:ilvl w:val="0"/>
                <w:numId w:val="0"/>
              </w:numPr>
              <w:spacing w:before="0" w:after="0"/>
              <w:jc w:val="center"/>
              <w:rPr>
                <w:lang w:val="en-GB" w:eastAsia="zh-CN"/>
              </w:rPr>
            </w:pPr>
            <w:r w:rsidRPr="00E97F5B">
              <w:t>120</w:t>
            </w:r>
          </w:p>
        </w:tc>
        <w:tc>
          <w:tcPr>
            <w:tcW w:w="2050" w:type="dxa"/>
          </w:tcPr>
          <w:p w:rsidR="00AB3C14" w:rsidP="00AB3C14" w:rsidRDefault="00AB3C14" w14:paraId="65392475" w14:textId="4B1852DC">
            <w:pPr>
              <w:pStyle w:val="MainBullet"/>
              <w:numPr>
                <w:ilvl w:val="0"/>
                <w:numId w:val="0"/>
              </w:numPr>
              <w:spacing w:before="0" w:after="0"/>
              <w:jc w:val="center"/>
              <w:rPr>
                <w:lang w:val="en-GB" w:eastAsia="zh-CN"/>
              </w:rPr>
            </w:pPr>
            <w:r w:rsidRPr="00E97F5B">
              <w:t>60</w:t>
            </w:r>
          </w:p>
        </w:tc>
        <w:tc>
          <w:tcPr>
            <w:tcW w:w="2057" w:type="dxa"/>
          </w:tcPr>
          <w:p w:rsidR="00AB3C14" w:rsidP="00AB3C14" w:rsidRDefault="00AB3C14" w14:paraId="5C38773E" w14:textId="7F2FAB1E">
            <w:pPr>
              <w:pStyle w:val="MainBullet"/>
              <w:numPr>
                <w:ilvl w:val="0"/>
                <w:numId w:val="0"/>
              </w:numPr>
              <w:spacing w:before="0" w:after="0"/>
              <w:jc w:val="center"/>
              <w:rPr>
                <w:lang w:val="en-GB" w:eastAsia="zh-CN"/>
              </w:rPr>
            </w:pPr>
            <w:r w:rsidRPr="00E97F5B">
              <w:t>(single stage)</w:t>
            </w:r>
          </w:p>
        </w:tc>
      </w:tr>
      <w:tr w:rsidR="00AB3C14" w:rsidTr="00AB3C14" w14:paraId="717B68E5" w14:textId="77777777">
        <w:tc>
          <w:tcPr>
            <w:tcW w:w="2191" w:type="dxa"/>
          </w:tcPr>
          <w:p w:rsidR="00AB3C14" w:rsidP="00AB3C14" w:rsidRDefault="00AB3C14" w14:paraId="1C7D66A8" w14:textId="62C4AD62">
            <w:pPr>
              <w:pStyle w:val="MainBullet"/>
              <w:numPr>
                <w:ilvl w:val="0"/>
                <w:numId w:val="0"/>
              </w:numPr>
              <w:spacing w:before="0" w:after="0"/>
              <w:rPr>
                <w:lang w:val="en-GB" w:eastAsia="zh-CN"/>
              </w:rPr>
            </w:pPr>
            <w:r w:rsidRPr="00E97F5B">
              <w:t>Diploma in HE</w:t>
            </w:r>
          </w:p>
        </w:tc>
        <w:tc>
          <w:tcPr>
            <w:tcW w:w="2038" w:type="dxa"/>
          </w:tcPr>
          <w:p w:rsidR="00AB3C14" w:rsidP="00AB3C14" w:rsidRDefault="00AB3C14" w14:paraId="11D80DD5" w14:textId="2E3C82D0">
            <w:pPr>
              <w:pStyle w:val="MainBullet"/>
              <w:numPr>
                <w:ilvl w:val="0"/>
                <w:numId w:val="0"/>
              </w:numPr>
              <w:spacing w:before="0" w:after="0"/>
              <w:jc w:val="center"/>
              <w:rPr>
                <w:lang w:val="en-GB" w:eastAsia="zh-CN"/>
              </w:rPr>
            </w:pPr>
            <w:r w:rsidRPr="00E97F5B">
              <w:t>240</w:t>
            </w:r>
          </w:p>
        </w:tc>
        <w:tc>
          <w:tcPr>
            <w:tcW w:w="2050" w:type="dxa"/>
          </w:tcPr>
          <w:p w:rsidR="00AB3C14" w:rsidP="00AB3C14" w:rsidRDefault="00AB3C14" w14:paraId="28974CD8" w14:textId="627322DA">
            <w:pPr>
              <w:pStyle w:val="MainBullet"/>
              <w:numPr>
                <w:ilvl w:val="0"/>
                <w:numId w:val="0"/>
              </w:numPr>
              <w:spacing w:before="0" w:after="0"/>
              <w:jc w:val="center"/>
              <w:rPr>
                <w:lang w:val="en-GB" w:eastAsia="zh-CN"/>
              </w:rPr>
            </w:pPr>
            <w:r w:rsidRPr="00E97F5B">
              <w:t>120</w:t>
            </w:r>
          </w:p>
        </w:tc>
        <w:tc>
          <w:tcPr>
            <w:tcW w:w="2057" w:type="dxa"/>
          </w:tcPr>
          <w:p w:rsidR="00AB3C14" w:rsidP="00AB3C14" w:rsidRDefault="00AB3C14" w14:paraId="4F6BB13E" w14:textId="760CF55C">
            <w:pPr>
              <w:pStyle w:val="MainBullet"/>
              <w:numPr>
                <w:ilvl w:val="0"/>
                <w:numId w:val="0"/>
              </w:numPr>
              <w:spacing w:before="0" w:after="0"/>
              <w:jc w:val="center"/>
              <w:rPr>
                <w:lang w:val="en-GB" w:eastAsia="zh-CN"/>
              </w:rPr>
            </w:pPr>
            <w:r w:rsidRPr="00E97F5B">
              <w:t>Diploma stage</w:t>
            </w:r>
          </w:p>
        </w:tc>
      </w:tr>
      <w:tr w:rsidR="00AB3C14" w:rsidTr="00AB3C14" w14:paraId="4C42FBE0" w14:textId="77777777">
        <w:tc>
          <w:tcPr>
            <w:tcW w:w="2191" w:type="dxa"/>
          </w:tcPr>
          <w:p w:rsidR="00AB3C14" w:rsidP="00AB3C14" w:rsidRDefault="00AB3C14" w14:paraId="2673FD13" w14:textId="6755A068">
            <w:pPr>
              <w:pStyle w:val="MainBullet"/>
              <w:numPr>
                <w:ilvl w:val="0"/>
                <w:numId w:val="0"/>
              </w:numPr>
              <w:spacing w:before="0" w:after="0"/>
              <w:rPr>
                <w:lang w:val="en-GB" w:eastAsia="zh-CN"/>
              </w:rPr>
            </w:pPr>
            <w:r w:rsidRPr="00E97F5B">
              <w:t>Foundation Degree</w:t>
            </w:r>
          </w:p>
        </w:tc>
        <w:tc>
          <w:tcPr>
            <w:tcW w:w="2038" w:type="dxa"/>
          </w:tcPr>
          <w:p w:rsidR="00AB3C14" w:rsidP="00AB3C14" w:rsidRDefault="00AB3C14" w14:paraId="4AC07A53" w14:textId="5AF7AF17">
            <w:pPr>
              <w:pStyle w:val="MainBullet"/>
              <w:numPr>
                <w:ilvl w:val="0"/>
                <w:numId w:val="0"/>
              </w:numPr>
              <w:spacing w:before="0" w:after="0"/>
              <w:jc w:val="center"/>
              <w:rPr>
                <w:lang w:val="en-GB" w:eastAsia="zh-CN"/>
              </w:rPr>
            </w:pPr>
            <w:r w:rsidRPr="00E97F5B">
              <w:t>240</w:t>
            </w:r>
          </w:p>
        </w:tc>
        <w:tc>
          <w:tcPr>
            <w:tcW w:w="2050" w:type="dxa"/>
          </w:tcPr>
          <w:p w:rsidR="00AB3C14" w:rsidP="00AB3C14" w:rsidRDefault="00AB3C14" w14:paraId="6B04E21D" w14:textId="77777777">
            <w:pPr>
              <w:jc w:val="center"/>
            </w:pPr>
            <w:r w:rsidRPr="00E97F5B">
              <w:t>180</w:t>
            </w:r>
            <w:r>
              <w:t>*</w:t>
            </w:r>
          </w:p>
          <w:p w:rsidR="00AB3C14" w:rsidP="00AB3C14" w:rsidRDefault="00AB3C14" w14:paraId="55219360" w14:textId="35636DCB">
            <w:pPr>
              <w:pStyle w:val="MainBullet"/>
              <w:numPr>
                <w:ilvl w:val="0"/>
                <w:numId w:val="0"/>
              </w:numPr>
              <w:spacing w:before="0" w:after="0"/>
              <w:jc w:val="center"/>
              <w:rPr>
                <w:lang w:val="en-GB" w:eastAsia="zh-CN"/>
              </w:rPr>
            </w:pPr>
            <w:r>
              <w:t>*</w:t>
            </w:r>
            <w:r w:rsidRPr="00C40312">
              <w:rPr>
                <w:i/>
                <w:iCs/>
                <w:sz w:val="18"/>
                <w:szCs w:val="18"/>
              </w:rPr>
              <w:t>subject to PSRB requirements</w:t>
            </w:r>
          </w:p>
        </w:tc>
        <w:tc>
          <w:tcPr>
            <w:tcW w:w="2057" w:type="dxa"/>
          </w:tcPr>
          <w:p w:rsidR="00AB3C14" w:rsidP="00AB3C14" w:rsidRDefault="00AB3C14" w14:paraId="041F9FD2" w14:textId="5877060E">
            <w:pPr>
              <w:pStyle w:val="MainBullet"/>
              <w:numPr>
                <w:ilvl w:val="0"/>
                <w:numId w:val="0"/>
              </w:numPr>
              <w:spacing w:before="0" w:after="0"/>
              <w:jc w:val="center"/>
              <w:rPr>
                <w:lang w:val="en-GB" w:eastAsia="zh-CN"/>
              </w:rPr>
            </w:pPr>
            <w:r w:rsidRPr="00E97F5B">
              <w:t>Final 60 credits of Intermediate stage</w:t>
            </w:r>
          </w:p>
        </w:tc>
      </w:tr>
      <w:tr w:rsidR="00AB3C14" w:rsidTr="00AB3C14" w14:paraId="29CD8CF5" w14:textId="77777777">
        <w:tc>
          <w:tcPr>
            <w:tcW w:w="2191" w:type="dxa"/>
          </w:tcPr>
          <w:p w:rsidR="00AB3C14" w:rsidP="00AB3C14" w:rsidRDefault="00AB3C14" w14:paraId="40C5B03E" w14:textId="0A7DBF5C">
            <w:pPr>
              <w:pStyle w:val="MainBullet"/>
              <w:numPr>
                <w:ilvl w:val="0"/>
                <w:numId w:val="0"/>
              </w:numPr>
              <w:spacing w:before="0" w:after="0"/>
              <w:rPr>
                <w:lang w:val="en-GB" w:eastAsia="zh-CN"/>
              </w:rPr>
            </w:pPr>
            <w:r w:rsidRPr="00E97F5B">
              <w:t>Honours degree</w:t>
            </w:r>
          </w:p>
        </w:tc>
        <w:tc>
          <w:tcPr>
            <w:tcW w:w="2038" w:type="dxa"/>
          </w:tcPr>
          <w:p w:rsidR="00AB3C14" w:rsidP="00AB3C14" w:rsidRDefault="00AB3C14" w14:paraId="7B071BA1" w14:textId="1522DDCD">
            <w:pPr>
              <w:pStyle w:val="MainBullet"/>
              <w:numPr>
                <w:ilvl w:val="0"/>
                <w:numId w:val="0"/>
              </w:numPr>
              <w:spacing w:before="0" w:after="0"/>
              <w:jc w:val="center"/>
              <w:rPr>
                <w:lang w:val="en-GB" w:eastAsia="zh-CN"/>
              </w:rPr>
            </w:pPr>
            <w:r w:rsidRPr="00E97F5B">
              <w:t>360/480</w:t>
            </w:r>
          </w:p>
        </w:tc>
        <w:tc>
          <w:tcPr>
            <w:tcW w:w="2050" w:type="dxa"/>
          </w:tcPr>
          <w:p w:rsidR="00AB3C14" w:rsidP="00AB3C14" w:rsidRDefault="00AB3C14" w14:paraId="75A3CFD8" w14:textId="77777777">
            <w:pPr>
              <w:jc w:val="center"/>
            </w:pPr>
            <w:r w:rsidRPr="00E97F5B">
              <w:t>240/360</w:t>
            </w:r>
            <w:r>
              <w:t>*</w:t>
            </w:r>
          </w:p>
          <w:p w:rsidR="00AB3C14" w:rsidP="00AB3C14" w:rsidRDefault="00AB3C14" w14:paraId="5ABBD8E9" w14:textId="28699186">
            <w:pPr>
              <w:pStyle w:val="MainBullet"/>
              <w:numPr>
                <w:ilvl w:val="0"/>
                <w:numId w:val="0"/>
              </w:numPr>
              <w:spacing w:before="0" w:after="0"/>
              <w:jc w:val="center"/>
              <w:rPr>
                <w:lang w:val="en-GB" w:eastAsia="zh-CN"/>
              </w:rPr>
            </w:pPr>
            <w:r>
              <w:rPr>
                <w:i/>
                <w:iCs/>
                <w:sz w:val="18"/>
                <w:szCs w:val="18"/>
              </w:rPr>
              <w:t>*</w:t>
            </w:r>
            <w:r w:rsidRPr="00C40312">
              <w:rPr>
                <w:i/>
                <w:iCs/>
                <w:sz w:val="18"/>
                <w:szCs w:val="18"/>
              </w:rPr>
              <w:t>subject to PSRB requirements</w:t>
            </w:r>
          </w:p>
        </w:tc>
        <w:tc>
          <w:tcPr>
            <w:tcW w:w="2057" w:type="dxa"/>
          </w:tcPr>
          <w:p w:rsidR="00AB3C14" w:rsidP="00AB3C14" w:rsidRDefault="00AB3C14" w14:paraId="737D525C" w14:textId="7500857D">
            <w:pPr>
              <w:pStyle w:val="MainBullet"/>
              <w:numPr>
                <w:ilvl w:val="0"/>
                <w:numId w:val="0"/>
              </w:numPr>
              <w:spacing w:before="0" w:after="0"/>
              <w:jc w:val="center"/>
              <w:rPr>
                <w:lang w:val="en-GB" w:eastAsia="zh-CN"/>
              </w:rPr>
            </w:pPr>
            <w:r w:rsidRPr="00E97F5B">
              <w:t>Honours stage</w:t>
            </w:r>
          </w:p>
        </w:tc>
      </w:tr>
      <w:tr w:rsidR="00AB3C14" w:rsidTr="00AB3C14" w14:paraId="22A01F8F" w14:textId="77777777">
        <w:tc>
          <w:tcPr>
            <w:tcW w:w="2191" w:type="dxa"/>
          </w:tcPr>
          <w:p w:rsidR="00AB3C14" w:rsidP="00AB3C14" w:rsidRDefault="00AB3C14" w14:paraId="433EAE33" w14:textId="300DF503">
            <w:pPr>
              <w:pStyle w:val="MainBullet"/>
              <w:numPr>
                <w:ilvl w:val="0"/>
                <w:numId w:val="0"/>
              </w:numPr>
              <w:spacing w:before="0" w:after="0"/>
              <w:rPr>
                <w:lang w:val="en-GB" w:eastAsia="zh-CN"/>
              </w:rPr>
            </w:pPr>
            <w:r>
              <w:t>PG Certificate/Graduate Certificate</w:t>
            </w:r>
          </w:p>
        </w:tc>
        <w:tc>
          <w:tcPr>
            <w:tcW w:w="2038" w:type="dxa"/>
          </w:tcPr>
          <w:p w:rsidR="00AB3C14" w:rsidP="00AB3C14" w:rsidRDefault="00AB3C14" w14:paraId="56ADA1EF" w14:textId="227D3D72">
            <w:pPr>
              <w:pStyle w:val="MainBullet"/>
              <w:numPr>
                <w:ilvl w:val="0"/>
                <w:numId w:val="0"/>
              </w:numPr>
              <w:spacing w:before="0" w:after="0"/>
              <w:jc w:val="center"/>
              <w:rPr>
                <w:lang w:val="en-GB" w:eastAsia="zh-CN"/>
              </w:rPr>
            </w:pPr>
            <w:r w:rsidRPr="00E97F5B">
              <w:t>60</w:t>
            </w:r>
          </w:p>
        </w:tc>
        <w:tc>
          <w:tcPr>
            <w:tcW w:w="2050" w:type="dxa"/>
          </w:tcPr>
          <w:p w:rsidR="00AB3C14" w:rsidP="00AB3C14" w:rsidRDefault="00AB3C14" w14:paraId="5E2A2BA2" w14:textId="39AB1196">
            <w:pPr>
              <w:pStyle w:val="MainBullet"/>
              <w:numPr>
                <w:ilvl w:val="0"/>
                <w:numId w:val="0"/>
              </w:numPr>
              <w:spacing w:before="0" w:after="0"/>
              <w:jc w:val="center"/>
              <w:rPr>
                <w:lang w:val="en-GB" w:eastAsia="zh-CN"/>
              </w:rPr>
            </w:pPr>
            <w:r w:rsidRPr="00E97F5B">
              <w:t>0</w:t>
            </w:r>
          </w:p>
        </w:tc>
        <w:tc>
          <w:tcPr>
            <w:tcW w:w="2057" w:type="dxa"/>
          </w:tcPr>
          <w:p w:rsidR="00AB3C14" w:rsidP="00AB3C14" w:rsidRDefault="00AB3C14" w14:paraId="12D8CF94" w14:textId="72CE72CB">
            <w:pPr>
              <w:pStyle w:val="MainBullet"/>
              <w:numPr>
                <w:ilvl w:val="0"/>
                <w:numId w:val="0"/>
              </w:numPr>
              <w:spacing w:before="0" w:after="0"/>
              <w:jc w:val="center"/>
              <w:rPr>
                <w:lang w:val="en-GB" w:eastAsia="zh-CN"/>
              </w:rPr>
            </w:pPr>
            <w:r>
              <w:t>(single stage)</w:t>
            </w:r>
          </w:p>
        </w:tc>
      </w:tr>
      <w:tr w:rsidR="00AB3C14" w:rsidTr="00AB3C14" w14:paraId="241CA2BD" w14:textId="77777777">
        <w:tc>
          <w:tcPr>
            <w:tcW w:w="2191" w:type="dxa"/>
          </w:tcPr>
          <w:p w:rsidR="00AB3C14" w:rsidP="00AB3C14" w:rsidRDefault="00AB3C14" w14:paraId="2EE1B147" w14:textId="7516C4A3">
            <w:pPr>
              <w:pStyle w:val="MainBullet"/>
              <w:numPr>
                <w:ilvl w:val="0"/>
                <w:numId w:val="0"/>
              </w:numPr>
              <w:spacing w:before="0" w:after="0"/>
              <w:rPr>
                <w:lang w:val="en-GB" w:eastAsia="zh-CN"/>
              </w:rPr>
            </w:pPr>
            <w:r w:rsidRPr="00E97F5B">
              <w:t>PG Diploma/Graduate Diploma</w:t>
            </w:r>
          </w:p>
        </w:tc>
        <w:tc>
          <w:tcPr>
            <w:tcW w:w="2038" w:type="dxa"/>
          </w:tcPr>
          <w:p w:rsidR="00AB3C14" w:rsidP="00AB3C14" w:rsidRDefault="00AB3C14" w14:paraId="235AB9A0" w14:textId="05829AD4">
            <w:pPr>
              <w:pStyle w:val="MainBullet"/>
              <w:numPr>
                <w:ilvl w:val="0"/>
                <w:numId w:val="0"/>
              </w:numPr>
              <w:spacing w:before="0" w:after="0"/>
              <w:jc w:val="center"/>
              <w:rPr>
                <w:lang w:val="en-GB" w:eastAsia="zh-CN"/>
              </w:rPr>
            </w:pPr>
            <w:r w:rsidRPr="00E97F5B">
              <w:t>120</w:t>
            </w:r>
          </w:p>
        </w:tc>
        <w:tc>
          <w:tcPr>
            <w:tcW w:w="2050" w:type="dxa"/>
          </w:tcPr>
          <w:p w:rsidR="00AB3C14" w:rsidP="00AB3C14" w:rsidRDefault="00AB3C14" w14:paraId="7E7A62FF" w14:textId="77777777">
            <w:pPr>
              <w:jc w:val="center"/>
            </w:pPr>
            <w:r w:rsidRPr="00E97F5B">
              <w:t>60</w:t>
            </w:r>
          </w:p>
          <w:p w:rsidR="00AB3C14" w:rsidP="00AB3C14" w:rsidRDefault="00AB3C14" w14:paraId="6A8FF7E1" w14:textId="3834C261">
            <w:pPr>
              <w:pStyle w:val="MainBullet"/>
              <w:numPr>
                <w:ilvl w:val="0"/>
                <w:numId w:val="0"/>
              </w:numPr>
              <w:spacing w:before="0" w:after="0"/>
              <w:jc w:val="center"/>
              <w:rPr>
                <w:lang w:val="en-GB" w:eastAsia="zh-CN"/>
              </w:rPr>
            </w:pPr>
            <w:r>
              <w:t>*</w:t>
            </w:r>
            <w:r w:rsidRPr="00C40312">
              <w:rPr>
                <w:i/>
                <w:iCs/>
                <w:sz w:val="18"/>
                <w:szCs w:val="18"/>
              </w:rPr>
              <w:t>subject to PSRB requirements</w:t>
            </w:r>
          </w:p>
        </w:tc>
        <w:tc>
          <w:tcPr>
            <w:tcW w:w="2057" w:type="dxa"/>
          </w:tcPr>
          <w:p w:rsidR="00AB3C14" w:rsidP="00AB3C14" w:rsidRDefault="00AB3C14" w14:paraId="30255AE4" w14:textId="5B11D2E3">
            <w:pPr>
              <w:pStyle w:val="MainBullet"/>
              <w:numPr>
                <w:ilvl w:val="0"/>
                <w:numId w:val="0"/>
              </w:numPr>
              <w:spacing w:before="0" w:after="0"/>
              <w:jc w:val="center"/>
              <w:rPr>
                <w:lang w:val="en-GB" w:eastAsia="zh-CN"/>
              </w:rPr>
            </w:pPr>
            <w:r w:rsidRPr="00E97F5B">
              <w:t>Diploma</w:t>
            </w:r>
          </w:p>
        </w:tc>
      </w:tr>
      <w:tr w:rsidR="00AB3C14" w:rsidTr="00AB3C14" w14:paraId="50E33B41" w14:textId="77777777">
        <w:trPr>
          <w:trHeight w:val="53"/>
        </w:trPr>
        <w:tc>
          <w:tcPr>
            <w:tcW w:w="2191" w:type="dxa"/>
          </w:tcPr>
          <w:p w:rsidR="00AB3C14" w:rsidP="00AB3C14" w:rsidRDefault="00AB3C14" w14:paraId="295869F7" w14:textId="00E540EB">
            <w:pPr>
              <w:pStyle w:val="MainBullet"/>
              <w:numPr>
                <w:ilvl w:val="0"/>
                <w:numId w:val="0"/>
              </w:numPr>
              <w:spacing w:before="0" w:after="0"/>
              <w:rPr>
                <w:lang w:val="en-GB" w:eastAsia="zh-CN"/>
              </w:rPr>
            </w:pPr>
            <w:r w:rsidRPr="00E97F5B">
              <w:t>PGT Masters</w:t>
            </w:r>
          </w:p>
        </w:tc>
        <w:tc>
          <w:tcPr>
            <w:tcW w:w="2038" w:type="dxa"/>
          </w:tcPr>
          <w:p w:rsidR="00AB3C14" w:rsidP="00AB3C14" w:rsidRDefault="00AB3C14" w14:paraId="3FE5E01A" w14:textId="75F8168A">
            <w:pPr>
              <w:pStyle w:val="MainBullet"/>
              <w:numPr>
                <w:ilvl w:val="0"/>
                <w:numId w:val="0"/>
              </w:numPr>
              <w:spacing w:before="0" w:after="0"/>
              <w:jc w:val="center"/>
              <w:rPr>
                <w:lang w:val="en-GB" w:eastAsia="zh-CN"/>
              </w:rPr>
            </w:pPr>
            <w:r w:rsidRPr="00E97F5B">
              <w:t>180</w:t>
            </w:r>
          </w:p>
        </w:tc>
        <w:tc>
          <w:tcPr>
            <w:tcW w:w="2050" w:type="dxa"/>
          </w:tcPr>
          <w:p w:rsidR="00AB3C14" w:rsidP="00AB3C14" w:rsidRDefault="00AB3C14" w14:paraId="49859B8D" w14:textId="77777777">
            <w:pPr>
              <w:jc w:val="center"/>
            </w:pPr>
            <w:r w:rsidRPr="00E97F5B">
              <w:t>120</w:t>
            </w:r>
          </w:p>
          <w:p w:rsidR="00AB3C14" w:rsidP="00AB3C14" w:rsidRDefault="00AB3C14" w14:paraId="70D32833" w14:textId="25AD5980">
            <w:pPr>
              <w:pStyle w:val="MainBullet"/>
              <w:numPr>
                <w:ilvl w:val="0"/>
                <w:numId w:val="0"/>
              </w:numPr>
              <w:spacing w:before="0" w:after="0"/>
              <w:jc w:val="center"/>
              <w:rPr>
                <w:lang w:val="en-GB" w:eastAsia="zh-CN"/>
              </w:rPr>
            </w:pPr>
            <w:r>
              <w:t>*</w:t>
            </w:r>
            <w:r w:rsidRPr="00C40312">
              <w:rPr>
                <w:i/>
                <w:iCs/>
                <w:sz w:val="18"/>
                <w:szCs w:val="18"/>
              </w:rPr>
              <w:t>subject to PSRB requirements</w:t>
            </w:r>
          </w:p>
        </w:tc>
        <w:tc>
          <w:tcPr>
            <w:tcW w:w="2057" w:type="dxa"/>
          </w:tcPr>
          <w:p w:rsidR="00AB3C14" w:rsidP="00AB3C14" w:rsidRDefault="00AB3C14" w14:paraId="6FBA15CD" w14:textId="064F3ED9">
            <w:pPr>
              <w:pStyle w:val="MainBullet"/>
              <w:numPr>
                <w:ilvl w:val="0"/>
                <w:numId w:val="0"/>
              </w:numPr>
              <w:spacing w:before="0" w:after="0"/>
              <w:jc w:val="center"/>
              <w:rPr>
                <w:lang w:val="en-GB" w:eastAsia="zh-CN"/>
              </w:rPr>
            </w:pPr>
            <w:r w:rsidRPr="00E97F5B">
              <w:t>Masters</w:t>
            </w:r>
          </w:p>
        </w:tc>
      </w:tr>
      <w:tr w:rsidR="00AB3C14" w:rsidTr="00AB3C14" w14:paraId="77E8721B" w14:textId="77777777">
        <w:tc>
          <w:tcPr>
            <w:tcW w:w="2191" w:type="dxa"/>
          </w:tcPr>
          <w:p w:rsidR="00AB3C14" w:rsidP="00AB3C14" w:rsidRDefault="00AB3C14" w14:paraId="12CD58FD" w14:textId="292AB8EA">
            <w:pPr>
              <w:pStyle w:val="MainBullet"/>
              <w:numPr>
                <w:ilvl w:val="0"/>
                <w:numId w:val="0"/>
              </w:numPr>
              <w:spacing w:before="0" w:after="0"/>
              <w:rPr>
                <w:lang w:val="en-GB" w:eastAsia="zh-CN"/>
              </w:rPr>
            </w:pPr>
            <w:r w:rsidRPr="00E97F5B">
              <w:t>Research Masters</w:t>
            </w:r>
          </w:p>
        </w:tc>
        <w:tc>
          <w:tcPr>
            <w:tcW w:w="2038" w:type="dxa"/>
          </w:tcPr>
          <w:p w:rsidR="00AB3C14" w:rsidP="00AB3C14" w:rsidRDefault="00AB3C14" w14:paraId="6ADB90E3" w14:textId="6704B7AE">
            <w:pPr>
              <w:pStyle w:val="MainBullet"/>
              <w:numPr>
                <w:ilvl w:val="0"/>
                <w:numId w:val="0"/>
              </w:numPr>
              <w:spacing w:before="0" w:after="0"/>
              <w:jc w:val="center"/>
              <w:rPr>
                <w:lang w:val="en-GB" w:eastAsia="zh-CN"/>
              </w:rPr>
            </w:pPr>
            <w:r w:rsidRPr="00E97F5B">
              <w:t>180</w:t>
            </w:r>
          </w:p>
        </w:tc>
        <w:tc>
          <w:tcPr>
            <w:tcW w:w="2050" w:type="dxa"/>
          </w:tcPr>
          <w:p w:rsidR="00AB3C14" w:rsidP="00AB3C14" w:rsidRDefault="00AB3C14" w14:paraId="04525066" w14:textId="3B0783C6">
            <w:pPr>
              <w:pStyle w:val="MainBullet"/>
              <w:numPr>
                <w:ilvl w:val="0"/>
                <w:numId w:val="0"/>
              </w:numPr>
              <w:spacing w:before="0" w:after="0"/>
              <w:jc w:val="center"/>
              <w:rPr>
                <w:lang w:val="en-GB" w:eastAsia="zh-CN"/>
              </w:rPr>
            </w:pPr>
            <w:r w:rsidRPr="00E97F5B">
              <w:t>90</w:t>
            </w:r>
          </w:p>
        </w:tc>
        <w:tc>
          <w:tcPr>
            <w:tcW w:w="2057" w:type="dxa"/>
          </w:tcPr>
          <w:p w:rsidR="00AB3C14" w:rsidP="00AB3C14" w:rsidRDefault="00AB3C14" w14:paraId="64E31D50" w14:textId="2A571C8C">
            <w:pPr>
              <w:pStyle w:val="MainBullet"/>
              <w:numPr>
                <w:ilvl w:val="0"/>
                <w:numId w:val="0"/>
              </w:numPr>
              <w:spacing w:before="0" w:after="0"/>
              <w:jc w:val="center"/>
              <w:rPr>
                <w:lang w:val="en-GB" w:eastAsia="zh-CN"/>
              </w:rPr>
            </w:pPr>
            <w:r w:rsidRPr="00E97F5B">
              <w:t>Masters</w:t>
            </w:r>
          </w:p>
        </w:tc>
      </w:tr>
      <w:tr w:rsidR="00AB3C14" w:rsidTr="00AB3C14" w14:paraId="036614EC" w14:textId="77777777">
        <w:tc>
          <w:tcPr>
            <w:tcW w:w="2191" w:type="dxa"/>
          </w:tcPr>
          <w:p w:rsidR="00AB3C14" w:rsidP="00AB3C14" w:rsidRDefault="00AB3C14" w14:paraId="184A3455" w14:textId="6AEEE3A0">
            <w:pPr>
              <w:pStyle w:val="MainBullet"/>
              <w:numPr>
                <w:ilvl w:val="0"/>
                <w:numId w:val="0"/>
              </w:numPr>
              <w:spacing w:before="0" w:after="0"/>
              <w:rPr>
                <w:lang w:val="en-GB" w:eastAsia="zh-CN"/>
              </w:rPr>
            </w:pPr>
            <w:r w:rsidRPr="00E97F5B">
              <w:t>MRes</w:t>
            </w:r>
          </w:p>
        </w:tc>
        <w:tc>
          <w:tcPr>
            <w:tcW w:w="2038" w:type="dxa"/>
          </w:tcPr>
          <w:p w:rsidR="00AB3C14" w:rsidP="00AB3C14" w:rsidRDefault="00AB3C14" w14:paraId="71C652B4" w14:textId="699F56E0">
            <w:pPr>
              <w:pStyle w:val="MainBullet"/>
              <w:numPr>
                <w:ilvl w:val="0"/>
                <w:numId w:val="0"/>
              </w:numPr>
              <w:spacing w:before="0" w:after="0"/>
              <w:jc w:val="center"/>
              <w:rPr>
                <w:lang w:val="en-GB" w:eastAsia="zh-CN"/>
              </w:rPr>
            </w:pPr>
            <w:r w:rsidRPr="00E97F5B">
              <w:t>180</w:t>
            </w:r>
          </w:p>
        </w:tc>
        <w:tc>
          <w:tcPr>
            <w:tcW w:w="2050" w:type="dxa"/>
          </w:tcPr>
          <w:p w:rsidR="00AB3C14" w:rsidP="00AB3C14" w:rsidRDefault="00AB3C14" w14:paraId="605FBB93" w14:textId="20D4C2FE">
            <w:pPr>
              <w:pStyle w:val="MainBullet"/>
              <w:numPr>
                <w:ilvl w:val="0"/>
                <w:numId w:val="0"/>
              </w:numPr>
              <w:spacing w:before="0" w:after="0"/>
              <w:jc w:val="center"/>
              <w:rPr>
                <w:lang w:val="en-GB" w:eastAsia="zh-CN"/>
              </w:rPr>
            </w:pPr>
            <w:r w:rsidRPr="00E97F5B">
              <w:t>60</w:t>
            </w:r>
          </w:p>
        </w:tc>
        <w:tc>
          <w:tcPr>
            <w:tcW w:w="2057" w:type="dxa"/>
          </w:tcPr>
          <w:p w:rsidR="00AB3C14" w:rsidP="00AB3C14" w:rsidRDefault="00AB3C14" w14:paraId="53ABDDBA" w14:textId="1D49482B">
            <w:pPr>
              <w:pStyle w:val="MainBullet"/>
              <w:numPr>
                <w:ilvl w:val="0"/>
                <w:numId w:val="0"/>
              </w:numPr>
              <w:spacing w:before="0" w:after="0"/>
              <w:jc w:val="center"/>
              <w:rPr>
                <w:lang w:val="en-GB" w:eastAsia="zh-CN"/>
              </w:rPr>
            </w:pPr>
            <w:r w:rsidRPr="00E97F5B">
              <w:t>Thesis</w:t>
            </w:r>
          </w:p>
        </w:tc>
      </w:tr>
      <w:tr w:rsidR="00AB3C14" w:rsidTr="00AB3C14" w14:paraId="4BB1235F" w14:textId="77777777">
        <w:tc>
          <w:tcPr>
            <w:tcW w:w="2191" w:type="dxa"/>
          </w:tcPr>
          <w:p w:rsidR="00AB3C14" w:rsidP="00AB3C14" w:rsidRDefault="00AB3C14" w14:paraId="1399DA1B" w14:textId="1F624E73">
            <w:pPr>
              <w:pStyle w:val="MainBullet"/>
              <w:numPr>
                <w:ilvl w:val="0"/>
                <w:numId w:val="0"/>
              </w:numPr>
              <w:spacing w:before="0" w:after="0"/>
              <w:rPr>
                <w:lang w:val="en-GB" w:eastAsia="zh-CN"/>
              </w:rPr>
            </w:pPr>
            <w:r w:rsidRPr="00517E5E">
              <w:t>Professional Doctorate</w:t>
            </w:r>
          </w:p>
        </w:tc>
        <w:tc>
          <w:tcPr>
            <w:tcW w:w="2038" w:type="dxa"/>
          </w:tcPr>
          <w:p w:rsidR="00AB3C14" w:rsidP="00AB3C14" w:rsidRDefault="00AB3C14" w14:paraId="1050FAA7" w14:textId="1968476E">
            <w:pPr>
              <w:pStyle w:val="MainBullet"/>
              <w:numPr>
                <w:ilvl w:val="0"/>
                <w:numId w:val="0"/>
              </w:numPr>
              <w:spacing w:before="0" w:after="0"/>
              <w:jc w:val="center"/>
              <w:rPr>
                <w:lang w:val="en-GB" w:eastAsia="zh-CN"/>
              </w:rPr>
            </w:pPr>
            <w:r w:rsidRPr="00517E5E">
              <w:t>80-180 (+ thesis)</w:t>
            </w:r>
          </w:p>
        </w:tc>
        <w:tc>
          <w:tcPr>
            <w:tcW w:w="2050" w:type="dxa"/>
          </w:tcPr>
          <w:p w:rsidR="00AB3C14" w:rsidP="00AB3C14" w:rsidRDefault="00AB3C14" w14:paraId="5088FC89" w14:textId="77777777">
            <w:pPr>
              <w:jc w:val="center"/>
              <w:rPr>
                <w:rFonts w:cs="Arial"/>
              </w:rPr>
            </w:pPr>
            <w:r>
              <w:rPr>
                <w:rFonts w:cs="Arial"/>
              </w:rPr>
              <w:t>60</w:t>
            </w:r>
          </w:p>
          <w:p w:rsidR="00AB3C14" w:rsidP="00AB3C14" w:rsidRDefault="00AB3C14" w14:paraId="0DAC9F07" w14:textId="324CE8BD">
            <w:pPr>
              <w:pStyle w:val="MainBullet"/>
              <w:numPr>
                <w:ilvl w:val="0"/>
                <w:numId w:val="0"/>
              </w:numPr>
              <w:spacing w:before="0" w:after="0"/>
              <w:jc w:val="center"/>
              <w:rPr>
                <w:lang w:val="en-GB" w:eastAsia="zh-CN"/>
              </w:rPr>
            </w:pPr>
            <w:r>
              <w:t>*</w:t>
            </w:r>
            <w:r w:rsidRPr="00C40312">
              <w:rPr>
                <w:i/>
                <w:iCs/>
                <w:sz w:val="18"/>
                <w:szCs w:val="18"/>
              </w:rPr>
              <w:t>subject to PSRB requirements</w:t>
            </w:r>
          </w:p>
        </w:tc>
        <w:tc>
          <w:tcPr>
            <w:tcW w:w="2057" w:type="dxa"/>
          </w:tcPr>
          <w:p w:rsidR="00AB3C14" w:rsidP="00AB3C14" w:rsidRDefault="00AB3C14" w14:paraId="4B8973C0" w14:textId="77777777">
            <w:pPr>
              <w:jc w:val="center"/>
              <w:rPr>
                <w:rFonts w:cs="Arial"/>
              </w:rPr>
            </w:pPr>
            <w:r w:rsidRPr="00517E5E">
              <w:rPr>
                <w:rFonts w:cs="Arial"/>
              </w:rPr>
              <w:t>Thesis</w:t>
            </w:r>
          </w:p>
          <w:p w:rsidR="00AB3C14" w:rsidP="00AB3C14" w:rsidRDefault="00AB3C14" w14:paraId="732A6576" w14:textId="77777777">
            <w:pPr>
              <w:jc w:val="center"/>
            </w:pPr>
          </w:p>
          <w:p w:rsidR="00AB3C14" w:rsidP="00AB3C14" w:rsidRDefault="00AB3C14" w14:paraId="325D9886" w14:textId="77777777">
            <w:pPr>
              <w:pStyle w:val="MainBullet"/>
              <w:numPr>
                <w:ilvl w:val="0"/>
                <w:numId w:val="0"/>
              </w:numPr>
              <w:spacing w:before="0" w:after="0"/>
              <w:jc w:val="center"/>
              <w:rPr>
                <w:lang w:val="en-GB" w:eastAsia="zh-CN"/>
              </w:rPr>
            </w:pPr>
          </w:p>
        </w:tc>
      </w:tr>
    </w:tbl>
    <w:p w:rsidRPr="00AB3C14" w:rsidR="00AB3C14" w:rsidP="00AB3C14" w:rsidRDefault="00AB3C14" w14:paraId="4612D866" w14:textId="77777777">
      <w:pPr>
        <w:pStyle w:val="MainBullet"/>
        <w:numPr>
          <w:ilvl w:val="0"/>
          <w:numId w:val="0"/>
        </w:numPr>
        <w:ind w:left="680"/>
        <w:rPr>
          <w:lang w:val="en-GB" w:eastAsia="zh-CN"/>
        </w:rPr>
      </w:pPr>
    </w:p>
    <w:p w:rsidRPr="00AB3C14" w:rsidR="00AB3C14" w:rsidP="00AB3C14" w:rsidRDefault="00AB3C14" w14:paraId="785B3962" w14:textId="77777777">
      <w:pPr>
        <w:pStyle w:val="MainBullet"/>
        <w:rPr>
          <w:lang w:val="en-GB" w:eastAsia="zh-CN"/>
        </w:rPr>
      </w:pPr>
      <w:r w:rsidRPr="00AB3C14">
        <w:rPr>
          <w:lang w:val="en-GB" w:eastAsia="zh-CN"/>
        </w:rPr>
        <w:t>University regulations provide that for Honours degrees, taught masters degrees, and research masters degrees, degree classification</w:t>
      </w:r>
      <w:r w:rsidRPr="00AB3C14">
        <w:rPr>
          <w:b/>
          <w:bCs w:val="0"/>
          <w:lang w:val="en-GB" w:eastAsia="zh-CN"/>
        </w:rPr>
        <w:t xml:space="preserve"> must</w:t>
      </w:r>
      <w:r w:rsidRPr="00AB3C14">
        <w:rPr>
          <w:lang w:val="en-GB" w:eastAsia="zh-CN"/>
        </w:rPr>
        <w:t xml:space="preserve"> be based on credit awarded only by the University (defined as including credit awarded through a programme delivered by a partner but leading to a University of Hull award).</w:t>
      </w:r>
    </w:p>
    <w:p w:rsidRPr="00AB3C14" w:rsidR="00AB3C14" w:rsidP="00AB3C14" w:rsidRDefault="00AB3C14" w14:paraId="27D4D50D" w14:textId="77777777">
      <w:pPr>
        <w:pStyle w:val="MainBullet"/>
        <w:rPr>
          <w:lang w:val="en-GB" w:eastAsia="zh-CN"/>
        </w:rPr>
      </w:pPr>
      <w:r w:rsidRPr="00AB3C14">
        <w:rPr>
          <w:lang w:val="en-GB" w:eastAsia="zh-CN"/>
        </w:rPr>
        <w:t xml:space="preserve">RPL </w:t>
      </w:r>
      <w:r w:rsidRPr="00AB3C14">
        <w:rPr>
          <w:b/>
          <w:bCs w:val="0"/>
          <w:lang w:val="en-GB" w:eastAsia="zh-CN"/>
        </w:rPr>
        <w:t xml:space="preserve">must </w:t>
      </w:r>
      <w:r w:rsidRPr="00AB3C14">
        <w:rPr>
          <w:lang w:val="en-GB" w:eastAsia="zh-CN"/>
        </w:rPr>
        <w:t>not be granted towards an award in the same subject where the applicant has</w:t>
      </w:r>
      <w:r>
        <w:rPr>
          <w:lang w:val="en-GB" w:eastAsia="zh-CN"/>
        </w:rPr>
        <w:t xml:space="preserve"> </w:t>
      </w:r>
      <w:r w:rsidRPr="00AB3C14">
        <w:rPr>
          <w:lang w:val="en-GB" w:eastAsia="zh-CN"/>
        </w:rPr>
        <w:t>failed the programme of study leading to the award through which the prior learning was achieved. For example, an applicant who achieves 160 credits but fails the Diploma stage of their degree</w:t>
      </w:r>
      <w:r w:rsidRPr="00AB3C14">
        <w:rPr>
          <w:b/>
          <w:bCs w:val="0"/>
          <w:lang w:val="en-GB" w:eastAsia="zh-CN"/>
        </w:rPr>
        <w:t xml:space="preserve"> must</w:t>
      </w:r>
      <w:r w:rsidRPr="00AB3C14">
        <w:rPr>
          <w:lang w:val="en-GB" w:eastAsia="zh-CN"/>
        </w:rPr>
        <w:t xml:space="preserve"> not be granted RPL for those 160 credits towards the same degree (or a Diploma or Ordinary degree). If the student had withdrawn at this stage (before submitting all of their assessments and before the meeting of the Board of Examiners) the credits may be considered for recognition of prior learning toward that same programme of study at a later date.  </w:t>
      </w:r>
    </w:p>
    <w:p w:rsidRPr="00AB3C14" w:rsidR="00AB3C14" w:rsidP="00AB3C14" w:rsidRDefault="00AB3C14" w14:paraId="2AFE0DF2" w14:textId="77777777">
      <w:pPr>
        <w:pStyle w:val="MainBullet"/>
        <w:numPr>
          <w:ilvl w:val="0"/>
          <w:numId w:val="0"/>
        </w:numPr>
        <w:ind w:left="680"/>
        <w:rPr>
          <w:i/>
          <w:iCs/>
          <w:sz w:val="20"/>
          <w:szCs w:val="20"/>
          <w:lang w:val="en-GB" w:eastAsia="zh-CN"/>
        </w:rPr>
      </w:pPr>
      <w:r w:rsidRPr="00AB3C14">
        <w:rPr>
          <w:i/>
          <w:iCs/>
          <w:sz w:val="20"/>
          <w:szCs w:val="20"/>
          <w:lang w:val="en-GB" w:eastAsia="zh-CN"/>
        </w:rPr>
        <w:lastRenderedPageBreak/>
        <w:t xml:space="preserve">* The University has a rule that the life of credits is 9 years although the Admissions Tutor may, at their discretion, reject an RPL application if the experience or study used in the RPL application is less than 9 years old but judged to be insufficiently current to enable the student to undertake, or re-start, their desired programme. </w:t>
      </w:r>
    </w:p>
    <w:p w:rsidRPr="00AB3C14" w:rsidR="00AB3C14" w:rsidP="00AB3C14" w:rsidRDefault="00AB3C14" w14:paraId="346F6548" w14:textId="77777777">
      <w:pPr>
        <w:pStyle w:val="MainBullet"/>
        <w:numPr>
          <w:ilvl w:val="0"/>
          <w:numId w:val="0"/>
        </w:numPr>
        <w:ind w:left="680"/>
        <w:rPr>
          <w:i/>
          <w:iCs/>
          <w:sz w:val="20"/>
          <w:szCs w:val="20"/>
          <w:lang w:val="en-GB" w:eastAsia="zh-CN"/>
        </w:rPr>
      </w:pPr>
      <w:r w:rsidRPr="00AB3C14">
        <w:rPr>
          <w:i/>
          <w:iCs/>
          <w:sz w:val="20"/>
          <w:szCs w:val="20"/>
          <w:lang w:val="en-GB" w:eastAsia="zh-CN"/>
        </w:rPr>
        <w:t xml:space="preserve">*RPL </w:t>
      </w:r>
      <w:r w:rsidRPr="00AB3C14">
        <w:rPr>
          <w:b/>
          <w:bCs w:val="0"/>
          <w:i/>
          <w:iCs/>
          <w:sz w:val="20"/>
          <w:szCs w:val="20"/>
          <w:lang w:val="en-GB" w:eastAsia="zh-CN"/>
        </w:rPr>
        <w:t>must</w:t>
      </w:r>
      <w:r w:rsidRPr="00AB3C14">
        <w:rPr>
          <w:i/>
          <w:iCs/>
          <w:sz w:val="20"/>
          <w:szCs w:val="20"/>
          <w:lang w:val="en-GB" w:eastAsia="zh-CN"/>
        </w:rPr>
        <w:t xml:space="preserve"> not be a substitute for, or undermine, the decisions of Boards of Examiners.  Checks </w:t>
      </w:r>
      <w:r w:rsidRPr="00AB3C14">
        <w:rPr>
          <w:b/>
          <w:bCs w:val="0"/>
          <w:i/>
          <w:iCs/>
          <w:sz w:val="20"/>
          <w:szCs w:val="20"/>
          <w:lang w:val="en-GB" w:eastAsia="zh-CN"/>
        </w:rPr>
        <w:t>should</w:t>
      </w:r>
      <w:r w:rsidRPr="00AB3C14">
        <w:rPr>
          <w:i/>
          <w:iCs/>
          <w:sz w:val="20"/>
          <w:szCs w:val="20"/>
          <w:lang w:val="en-GB" w:eastAsia="zh-CN"/>
        </w:rPr>
        <w:t xml:space="preserve"> be made on SIS or on previous minutes of Boards of Examiners to ensure this is upheld in an instance where a student withdraws from, and returns to, the same programme.</w:t>
      </w:r>
    </w:p>
    <w:p w:rsidRPr="00AB3C14" w:rsidR="00AB3C14" w:rsidP="00AB3C14" w:rsidRDefault="00AB3C14" w14:paraId="4414C3A1" w14:textId="3D7773C9">
      <w:pPr>
        <w:pStyle w:val="MainBullet"/>
        <w:rPr>
          <w:lang w:val="en-GB" w:eastAsia="zh-CN"/>
        </w:rPr>
      </w:pPr>
      <w:r w:rsidRPr="00AB3C14">
        <w:rPr>
          <w:lang w:val="en-GB" w:eastAsia="zh-CN"/>
        </w:rPr>
        <w:t>RPL can only be granted for modules for which credits have been awarded.</w:t>
      </w:r>
    </w:p>
    <w:p w:rsidR="00A153B9" w:rsidP="00A153B9" w:rsidRDefault="00A153B9" w14:paraId="4C581B32" w14:textId="77777777">
      <w:pPr>
        <w:pStyle w:val="Heading1"/>
      </w:pPr>
      <w:bookmarkStart w:name="_Toc168929528" w:id="9"/>
      <w:r>
        <w:t>Decision Making Process</w:t>
      </w:r>
      <w:bookmarkEnd w:id="9"/>
    </w:p>
    <w:p w:rsidRPr="00A153B9" w:rsidR="00A153B9" w:rsidP="00A153B9" w:rsidRDefault="00A153B9" w14:paraId="4C8C0DFD" w14:textId="02CFFECD">
      <w:pPr>
        <w:pStyle w:val="Heading2"/>
        <w:numPr>
          <w:ilvl w:val="0"/>
          <w:numId w:val="0"/>
        </w:numPr>
        <w:ind w:left="680"/>
      </w:pPr>
      <w:bookmarkStart w:name="_Toc168929529" w:id="10"/>
      <w:r w:rsidRPr="00A153B9">
        <w:t xml:space="preserve">Decision </w:t>
      </w:r>
      <w:r>
        <w:t>m</w:t>
      </w:r>
      <w:r w:rsidRPr="00A153B9">
        <w:t xml:space="preserve">aking </w:t>
      </w:r>
      <w:r>
        <w:t>a</w:t>
      </w:r>
      <w:r w:rsidRPr="00A153B9">
        <w:t>uthority</w:t>
      </w:r>
      <w:bookmarkEnd w:id="10"/>
    </w:p>
    <w:p w:rsidRPr="00A153B9" w:rsidR="00A153B9" w:rsidP="00A153B9" w:rsidRDefault="00A153B9" w14:paraId="76BF0DE8" w14:textId="71053A2A">
      <w:pPr>
        <w:pStyle w:val="MainBullet"/>
        <w:rPr>
          <w:lang w:val="en-GB" w:eastAsia="zh-CN"/>
        </w:rPr>
      </w:pPr>
      <w:r w:rsidRPr="00A153B9">
        <w:rPr>
          <w:lang w:val="en-GB" w:eastAsia="zh-CN"/>
        </w:rPr>
        <w:t>The decision whether to recognise prior learning is a matter of academic judgement to be made within university regulations and the requirements of this code of practice. The award of University of Hull credit is delegated to faculty deans by Senate for the purposes of practical implementation of RPL. For research degrees and Doctoral College PGTS modules, the Research Degrees Committee is responsible for determining applications.</w:t>
      </w:r>
    </w:p>
    <w:p w:rsidRPr="00A153B9" w:rsidR="00A153B9" w:rsidP="00A153B9" w:rsidRDefault="00A153B9" w14:paraId="115C6E37" w14:textId="77777777">
      <w:pPr>
        <w:pStyle w:val="MainBullet"/>
        <w:rPr>
          <w:lang w:val="en-GB" w:eastAsia="zh-CN"/>
        </w:rPr>
      </w:pPr>
      <w:r w:rsidRPr="00A153B9">
        <w:rPr>
          <w:lang w:val="en-GB" w:eastAsia="zh-CN"/>
        </w:rPr>
        <w:t xml:space="preserve">Deans are responsible for identifying staff who will make decisions in individual cases. Each decision </w:t>
      </w:r>
      <w:r w:rsidRPr="00847E70">
        <w:rPr>
          <w:b/>
          <w:bCs w:val="0"/>
          <w:lang w:val="en-GB" w:eastAsia="zh-CN"/>
        </w:rPr>
        <w:t>must</w:t>
      </w:r>
      <w:r w:rsidRPr="00A153B9">
        <w:rPr>
          <w:lang w:val="en-GB" w:eastAsia="zh-CN"/>
        </w:rPr>
        <w:t xml:space="preserve"> be considered by no fewer than two members of staff, one of whom </w:t>
      </w:r>
      <w:r w:rsidRPr="00847E70">
        <w:rPr>
          <w:b/>
          <w:bCs w:val="0"/>
          <w:lang w:val="en-GB" w:eastAsia="zh-CN"/>
        </w:rPr>
        <w:t>should</w:t>
      </w:r>
      <w:r w:rsidRPr="00A153B9">
        <w:rPr>
          <w:lang w:val="en-GB" w:eastAsia="zh-CN"/>
        </w:rPr>
        <w:t xml:space="preserve"> be the academic unit, Admissions Tutor. Both </w:t>
      </w:r>
      <w:r w:rsidRPr="00847E70">
        <w:rPr>
          <w:b/>
          <w:bCs w:val="0"/>
          <w:lang w:val="en-GB" w:eastAsia="zh-CN"/>
        </w:rPr>
        <w:t xml:space="preserve">should </w:t>
      </w:r>
      <w:r w:rsidRPr="00A153B9">
        <w:rPr>
          <w:lang w:val="en-GB" w:eastAsia="zh-CN"/>
        </w:rPr>
        <w:t xml:space="preserve">have received such staff development as deemed appropriate by the dean and the Head of Admissions and Applicant Services. Particular attention </w:t>
      </w:r>
      <w:r w:rsidRPr="00847E70">
        <w:rPr>
          <w:b/>
          <w:bCs w:val="0"/>
          <w:lang w:val="en-GB" w:eastAsia="zh-CN"/>
        </w:rPr>
        <w:t>should</w:t>
      </w:r>
      <w:r w:rsidRPr="00A153B9">
        <w:rPr>
          <w:lang w:val="en-GB" w:eastAsia="zh-CN"/>
        </w:rPr>
        <w:t xml:space="preserve"> be paid to the complexity of advising on, and evaluating, applications for RPEL. Academic units may wish to establish an RPL Board or equivalent to make decisions. </w:t>
      </w:r>
    </w:p>
    <w:p w:rsidRPr="00A153B9" w:rsidR="00A153B9" w:rsidP="00A153B9" w:rsidRDefault="00A153B9" w14:paraId="21FCE55C" w14:textId="77777777">
      <w:pPr>
        <w:pStyle w:val="MainBullet"/>
        <w:rPr>
          <w:lang w:val="en-GB" w:eastAsia="zh-CN"/>
        </w:rPr>
      </w:pPr>
      <w:r w:rsidRPr="00A153B9">
        <w:rPr>
          <w:lang w:val="en-GB" w:eastAsia="zh-CN"/>
        </w:rPr>
        <w:t xml:space="preserve">Where an application is for entry to a programme that is subject to PSRB requirements, a decision on the application </w:t>
      </w:r>
      <w:r w:rsidRPr="00847E70">
        <w:rPr>
          <w:b/>
          <w:bCs w:val="0"/>
          <w:lang w:val="en-GB" w:eastAsia="zh-CN"/>
        </w:rPr>
        <w:t xml:space="preserve">must </w:t>
      </w:r>
      <w:r w:rsidRPr="00A153B9">
        <w:rPr>
          <w:lang w:val="en-GB" w:eastAsia="zh-CN"/>
        </w:rPr>
        <w:t>be approved by a member of staff who has specialist knowledge of the PSRB requirements.</w:t>
      </w:r>
    </w:p>
    <w:p w:rsidRPr="00A153B9" w:rsidR="00A153B9" w:rsidP="00A153B9" w:rsidRDefault="00A153B9" w14:paraId="7DF7C8CB" w14:textId="77777777">
      <w:pPr>
        <w:pStyle w:val="MainBullet"/>
        <w:rPr>
          <w:lang w:val="en-GB" w:eastAsia="zh-CN"/>
        </w:rPr>
      </w:pPr>
      <w:r w:rsidRPr="00A153B9">
        <w:rPr>
          <w:lang w:val="en-GB" w:eastAsia="zh-CN"/>
        </w:rPr>
        <w:t xml:space="preserve">Deans </w:t>
      </w:r>
      <w:r w:rsidRPr="00847E70">
        <w:rPr>
          <w:b/>
          <w:bCs w:val="0"/>
          <w:lang w:val="en-GB" w:eastAsia="zh-CN"/>
        </w:rPr>
        <w:t xml:space="preserve">should </w:t>
      </w:r>
      <w:r w:rsidRPr="00A153B9">
        <w:rPr>
          <w:lang w:val="en-GB" w:eastAsia="zh-CN"/>
        </w:rPr>
        <w:t>inform the Head of Admissions and Applicant Services of staff responsible for RPL decisions within the faculty.</w:t>
      </w:r>
    </w:p>
    <w:p w:rsidRPr="00A153B9" w:rsidR="00A153B9" w:rsidP="00A153B9" w:rsidRDefault="00A153B9" w14:paraId="25DF13CD" w14:textId="77777777">
      <w:pPr>
        <w:pStyle w:val="MainBullet"/>
        <w:rPr>
          <w:lang w:val="en-GB" w:eastAsia="zh-CN"/>
        </w:rPr>
      </w:pPr>
      <w:r w:rsidRPr="00A153B9">
        <w:rPr>
          <w:lang w:val="en-GB" w:eastAsia="zh-CN"/>
        </w:rPr>
        <w:t xml:space="preserve">For programmes involving more than one academic unit, the relevant dean (or deans) </w:t>
      </w:r>
      <w:r w:rsidRPr="00847E70">
        <w:rPr>
          <w:b/>
          <w:bCs w:val="0"/>
          <w:lang w:val="en-GB" w:eastAsia="zh-CN"/>
        </w:rPr>
        <w:t xml:space="preserve">must </w:t>
      </w:r>
      <w:r w:rsidRPr="00A153B9">
        <w:rPr>
          <w:lang w:val="en-GB" w:eastAsia="zh-CN"/>
        </w:rPr>
        <w:t>agree the allocation of responsibilities so that it is clear to both staff and applicants how applications will be processed and who has authority to decide.</w:t>
      </w:r>
    </w:p>
    <w:p w:rsidR="00A153B9" w:rsidP="00A153B9" w:rsidRDefault="00A153B9" w14:paraId="71ACFD09" w14:textId="6030048B">
      <w:pPr>
        <w:pStyle w:val="Heading2"/>
        <w:numPr>
          <w:ilvl w:val="0"/>
          <w:numId w:val="0"/>
        </w:numPr>
        <w:ind w:left="680"/>
      </w:pPr>
      <w:bookmarkStart w:name="_Toc168929530" w:id="11"/>
      <w:r>
        <w:t>Applications for RPL</w:t>
      </w:r>
      <w:bookmarkEnd w:id="11"/>
    </w:p>
    <w:p w:rsidRPr="00A153B9" w:rsidR="00A153B9" w:rsidP="00A153B9" w:rsidRDefault="00A153B9" w14:paraId="61885088" w14:textId="7CC02088">
      <w:pPr>
        <w:pStyle w:val="MainBullet"/>
        <w:rPr>
          <w:lang w:val="en-GB" w:eastAsia="zh-CN"/>
        </w:rPr>
      </w:pPr>
      <w:r w:rsidRPr="00A153B9">
        <w:rPr>
          <w:lang w:val="en-GB" w:eastAsia="zh-CN"/>
        </w:rPr>
        <w:t xml:space="preserve">Applications, whether by applicants to the University or current students, </w:t>
      </w:r>
      <w:r w:rsidRPr="00847E70">
        <w:rPr>
          <w:b/>
          <w:bCs w:val="0"/>
          <w:lang w:val="en-GB" w:eastAsia="zh-CN"/>
        </w:rPr>
        <w:t xml:space="preserve">must </w:t>
      </w:r>
      <w:r w:rsidRPr="00A153B9">
        <w:rPr>
          <w:lang w:val="en-GB" w:eastAsia="zh-CN"/>
        </w:rPr>
        <w:t xml:space="preserve">be made to the academic unit(s) responsible for the programme of study to which the RPL application relates. An application </w:t>
      </w:r>
      <w:r w:rsidRPr="00847E70">
        <w:rPr>
          <w:b/>
          <w:bCs w:val="0"/>
          <w:lang w:val="en-GB" w:eastAsia="zh-CN"/>
        </w:rPr>
        <w:t>should</w:t>
      </w:r>
      <w:r w:rsidRPr="00A153B9">
        <w:rPr>
          <w:lang w:val="en-GB" w:eastAsia="zh-CN"/>
        </w:rPr>
        <w:t xml:space="preserve"> be acknowledged in writing within three working days and include guidance to the applicant on how long the academic unit expects to take to determine the application. Applications for research degrees and Doctoral College PGTS modules </w:t>
      </w:r>
      <w:r w:rsidRPr="00847E70">
        <w:rPr>
          <w:b/>
          <w:bCs w:val="0"/>
          <w:lang w:val="en-GB" w:eastAsia="zh-CN"/>
        </w:rPr>
        <w:t>must</w:t>
      </w:r>
      <w:r w:rsidRPr="00A153B9">
        <w:rPr>
          <w:lang w:val="en-GB" w:eastAsia="zh-CN"/>
        </w:rPr>
        <w:t xml:space="preserve"> be made to the Doctoral College.</w:t>
      </w:r>
    </w:p>
    <w:p w:rsidRPr="00A153B9" w:rsidR="00A153B9" w:rsidP="00A153B9" w:rsidRDefault="00A153B9" w14:paraId="360F330E" w14:textId="77777777">
      <w:pPr>
        <w:pStyle w:val="MainBullet"/>
        <w:rPr>
          <w:lang w:val="en-GB" w:eastAsia="zh-CN"/>
        </w:rPr>
      </w:pPr>
      <w:r w:rsidRPr="00A153B9">
        <w:rPr>
          <w:lang w:val="en-GB" w:eastAsia="zh-CN"/>
        </w:rPr>
        <w:t xml:space="preserve">Applications for RPL can be made retrospectively by current students although applications cannot be made after a student has already taken the first piece of summative assessment in the module(s) from which they wish to be exempted by RPL. Consideration of the merits of a retrospective application </w:t>
      </w:r>
      <w:r w:rsidRPr="00847E70">
        <w:rPr>
          <w:b/>
          <w:bCs w:val="0"/>
          <w:lang w:val="en-GB" w:eastAsia="zh-CN"/>
        </w:rPr>
        <w:t>should</w:t>
      </w:r>
      <w:r w:rsidRPr="00A153B9">
        <w:rPr>
          <w:lang w:val="en-GB" w:eastAsia="zh-CN"/>
        </w:rPr>
        <w:t xml:space="preserve"> include taking into account the applicant’s attendance and submission record on the programme of study to date. </w:t>
      </w:r>
    </w:p>
    <w:p w:rsidRPr="00A153B9" w:rsidR="00A153B9" w:rsidP="00A153B9" w:rsidRDefault="00A153B9" w14:paraId="30DDEA04" w14:textId="77777777">
      <w:pPr>
        <w:pStyle w:val="MainBullet"/>
        <w:rPr>
          <w:lang w:val="en-GB" w:eastAsia="zh-CN"/>
        </w:rPr>
      </w:pPr>
      <w:r w:rsidRPr="00A153B9">
        <w:rPr>
          <w:lang w:val="en-GB" w:eastAsia="zh-CN"/>
        </w:rPr>
        <w:lastRenderedPageBreak/>
        <w:t xml:space="preserve">For applicants to the University to whom the UCAS system applies - any applicant for a full-time degree programme for September start (other than Nursing)- the RPL application </w:t>
      </w:r>
      <w:r w:rsidRPr="00847E70">
        <w:rPr>
          <w:b/>
          <w:bCs w:val="0"/>
          <w:lang w:val="en-GB" w:eastAsia="zh-CN"/>
        </w:rPr>
        <w:t>must</w:t>
      </w:r>
      <w:r w:rsidRPr="00A153B9">
        <w:rPr>
          <w:lang w:val="en-GB" w:eastAsia="zh-CN"/>
        </w:rPr>
        <w:t xml:space="preserve"> be submitted directly to the relevant academic unit for consideration alongside the UCAS application. Any applications for RPL received directly by the University Admissions and Applicant Services </w:t>
      </w:r>
      <w:r w:rsidRPr="00847E70">
        <w:rPr>
          <w:b/>
          <w:bCs w:val="0"/>
          <w:lang w:val="en-GB" w:eastAsia="zh-CN"/>
        </w:rPr>
        <w:t>must</w:t>
      </w:r>
      <w:r w:rsidRPr="00A153B9">
        <w:rPr>
          <w:lang w:val="en-GB" w:eastAsia="zh-CN"/>
        </w:rPr>
        <w:t xml:space="preserve"> be forwarded to the relevant academic unit.</w:t>
      </w:r>
    </w:p>
    <w:p w:rsidRPr="00A153B9" w:rsidR="00A153B9" w:rsidP="00A153B9" w:rsidRDefault="00A153B9" w14:paraId="4C677897" w14:textId="77777777">
      <w:pPr>
        <w:pStyle w:val="MainBullet"/>
        <w:rPr>
          <w:lang w:val="en-GB" w:eastAsia="zh-CN"/>
        </w:rPr>
      </w:pPr>
      <w:r w:rsidRPr="00A153B9">
        <w:rPr>
          <w:lang w:val="en-GB" w:eastAsia="zh-CN"/>
        </w:rPr>
        <w:t xml:space="preserve">Academic units </w:t>
      </w:r>
      <w:r w:rsidRPr="00847E70">
        <w:rPr>
          <w:b/>
          <w:bCs w:val="0"/>
          <w:lang w:val="en-GB" w:eastAsia="zh-CN"/>
        </w:rPr>
        <w:t xml:space="preserve">must </w:t>
      </w:r>
      <w:r w:rsidRPr="00A153B9">
        <w:rPr>
          <w:lang w:val="en-GB" w:eastAsia="zh-CN"/>
        </w:rPr>
        <w:t xml:space="preserve">determine whether there are periods of the year during which they will not accept applications for RPL. Where this is the case, the academic unit </w:t>
      </w:r>
      <w:r w:rsidRPr="00847E70">
        <w:rPr>
          <w:b/>
          <w:bCs w:val="0"/>
          <w:lang w:val="en-GB" w:eastAsia="zh-CN"/>
        </w:rPr>
        <w:t xml:space="preserve">must </w:t>
      </w:r>
      <w:r w:rsidRPr="00A153B9">
        <w:rPr>
          <w:lang w:val="en-GB" w:eastAsia="zh-CN"/>
        </w:rPr>
        <w:t>inform the University Admissions and Applicant Services.</w:t>
      </w:r>
    </w:p>
    <w:p w:rsidRPr="00A153B9" w:rsidR="00A153B9" w:rsidP="00A153B9" w:rsidRDefault="00A153B9" w14:paraId="388A0A3A" w14:textId="77777777">
      <w:pPr>
        <w:pStyle w:val="MainBullet"/>
        <w:rPr>
          <w:lang w:val="en-GB" w:eastAsia="zh-CN"/>
        </w:rPr>
      </w:pPr>
      <w:r w:rsidRPr="00A153B9">
        <w:rPr>
          <w:lang w:val="en-GB" w:eastAsia="zh-CN"/>
        </w:rPr>
        <w:t xml:space="preserve">Where an application is rejected, the applicant </w:t>
      </w:r>
      <w:r w:rsidRPr="00847E70">
        <w:rPr>
          <w:b/>
          <w:bCs w:val="0"/>
          <w:lang w:val="en-GB" w:eastAsia="zh-CN"/>
        </w:rPr>
        <w:t>must</w:t>
      </w:r>
      <w:r w:rsidRPr="00A153B9">
        <w:rPr>
          <w:lang w:val="en-GB" w:eastAsia="zh-CN"/>
        </w:rPr>
        <w:t xml:space="preserve"> be informed of the reasons for rejection and </w:t>
      </w:r>
      <w:r w:rsidRPr="00847E70">
        <w:rPr>
          <w:b/>
          <w:bCs w:val="0"/>
          <w:lang w:val="en-GB" w:eastAsia="zh-CN"/>
        </w:rPr>
        <w:t>should</w:t>
      </w:r>
      <w:r w:rsidRPr="00A153B9">
        <w:rPr>
          <w:lang w:val="en-GB" w:eastAsia="zh-CN"/>
        </w:rPr>
        <w:t xml:space="preserve"> be provided with guidance on alternative options. </w:t>
      </w:r>
    </w:p>
    <w:p w:rsidR="00A153B9" w:rsidP="00A153B9" w:rsidRDefault="00A153B9" w14:paraId="7D638922" w14:textId="7517F373">
      <w:pPr>
        <w:pStyle w:val="Heading2"/>
        <w:numPr>
          <w:ilvl w:val="0"/>
          <w:numId w:val="0"/>
        </w:numPr>
        <w:ind w:left="680"/>
      </w:pPr>
      <w:bookmarkStart w:name="_Toc168929531" w:id="12"/>
      <w:r>
        <w:t>Communication of decisions</w:t>
      </w:r>
      <w:bookmarkEnd w:id="12"/>
    </w:p>
    <w:p w:rsidRPr="00A153B9" w:rsidR="00A153B9" w:rsidP="00A153B9" w:rsidRDefault="00A153B9" w14:paraId="380C659A" w14:textId="024DCAA3">
      <w:pPr>
        <w:pStyle w:val="MainBullet"/>
        <w:rPr>
          <w:lang w:val="en-GB" w:eastAsia="zh-CN"/>
        </w:rPr>
      </w:pPr>
      <w:r w:rsidRPr="00A153B9">
        <w:rPr>
          <w:lang w:val="en-GB" w:eastAsia="zh-CN"/>
        </w:rPr>
        <w:t xml:space="preserve">Where an academic unit is satisfied that it is able to make a decision on an application for RPL, the academic unit </w:t>
      </w:r>
      <w:r w:rsidRPr="00847E70">
        <w:rPr>
          <w:b/>
          <w:bCs w:val="0"/>
          <w:lang w:val="en-GB" w:eastAsia="zh-CN"/>
        </w:rPr>
        <w:t>must</w:t>
      </w:r>
      <w:r w:rsidRPr="00A153B9">
        <w:rPr>
          <w:lang w:val="en-GB" w:eastAsia="zh-CN"/>
        </w:rPr>
        <w:t xml:space="preserve"> inform the University Admissions and Applicant Services of the decision regarding undergraduate and taught postgraduate cases or the Doctoral College regarding research degree/PGTS cases) using Annexe 1* of this code. The Admissions and Applicant Services/Doctoral College is responsible for informing the applicant in writing of the decision - whether acceptance or rejection. Academic units </w:t>
      </w:r>
      <w:r w:rsidRPr="00847E70">
        <w:rPr>
          <w:b/>
          <w:bCs w:val="0"/>
          <w:lang w:val="en-GB" w:eastAsia="zh-CN"/>
        </w:rPr>
        <w:t>must</w:t>
      </w:r>
      <w:r w:rsidRPr="00A153B9">
        <w:rPr>
          <w:lang w:val="en-GB" w:eastAsia="zh-CN"/>
        </w:rPr>
        <w:t xml:space="preserve"> not formally communicate the decision to the applicant. All decisions </w:t>
      </w:r>
      <w:r w:rsidRPr="00847E70">
        <w:rPr>
          <w:b/>
          <w:bCs w:val="0"/>
          <w:lang w:val="en-GB" w:eastAsia="zh-CN"/>
        </w:rPr>
        <w:t xml:space="preserve">must </w:t>
      </w:r>
      <w:r w:rsidRPr="00A153B9">
        <w:rPr>
          <w:lang w:val="en-GB" w:eastAsia="zh-CN"/>
        </w:rPr>
        <w:t xml:space="preserve">be notified to Academic Services. </w:t>
      </w:r>
    </w:p>
    <w:p w:rsidRPr="00A153B9" w:rsidR="00A153B9" w:rsidP="00A153B9" w:rsidRDefault="00A153B9" w14:paraId="03076DA3" w14:textId="77777777">
      <w:pPr>
        <w:pStyle w:val="MainBullet"/>
        <w:rPr>
          <w:lang w:val="en-GB" w:eastAsia="zh-CN"/>
        </w:rPr>
      </w:pPr>
      <w:r w:rsidRPr="00A153B9">
        <w:rPr>
          <w:lang w:val="en-GB" w:eastAsia="zh-CN"/>
        </w:rPr>
        <w:t xml:space="preserve">Only credit earned on a University of Hull award is classifiable. Where a decision to accept an application involves recognition of classifiable credit, the academic unit </w:t>
      </w:r>
      <w:r w:rsidRPr="00847E70">
        <w:rPr>
          <w:b/>
          <w:bCs w:val="0"/>
          <w:lang w:val="en-GB" w:eastAsia="zh-CN"/>
        </w:rPr>
        <w:t xml:space="preserve">must </w:t>
      </w:r>
      <w:r w:rsidRPr="00A153B9">
        <w:rPr>
          <w:lang w:val="en-GB" w:eastAsia="zh-CN"/>
        </w:rPr>
        <w:t xml:space="preserve">attach a copy of the applicant’s official transcript recording the marks awarded for the modules relevant to degree classification. The original mark awarded for classifiable credit </w:t>
      </w:r>
      <w:r w:rsidRPr="00847E70">
        <w:rPr>
          <w:b/>
          <w:bCs w:val="0"/>
          <w:lang w:val="en-GB" w:eastAsia="zh-CN"/>
        </w:rPr>
        <w:t>must</w:t>
      </w:r>
      <w:r w:rsidRPr="00A153B9">
        <w:rPr>
          <w:lang w:val="en-GB" w:eastAsia="zh-CN"/>
        </w:rPr>
        <w:t xml:space="preserve"> be used in determining the applicant’s degree classification.</w:t>
      </w:r>
    </w:p>
    <w:p w:rsidRPr="00A153B9" w:rsidR="00A153B9" w:rsidP="00A153B9" w:rsidRDefault="00A153B9" w14:paraId="4F05C681" w14:textId="77777777">
      <w:pPr>
        <w:pStyle w:val="MainBullet"/>
        <w:numPr>
          <w:ilvl w:val="0"/>
          <w:numId w:val="0"/>
        </w:numPr>
        <w:ind w:left="680"/>
        <w:rPr>
          <w:i/>
          <w:iCs/>
          <w:sz w:val="20"/>
          <w:szCs w:val="20"/>
          <w:lang w:val="en-GB" w:eastAsia="zh-CN"/>
        </w:rPr>
      </w:pPr>
      <w:r w:rsidRPr="00A153B9">
        <w:rPr>
          <w:i/>
          <w:iCs/>
          <w:sz w:val="20"/>
          <w:szCs w:val="20"/>
          <w:lang w:val="en-GB" w:eastAsia="zh-CN"/>
        </w:rPr>
        <w:t>* Additional information may be appended to annexe 1 in consideration of an RPL claim as deemed necessary by those judging the application but sections of annexe 1 may not be removed.</w:t>
      </w:r>
    </w:p>
    <w:p w:rsidRPr="00A153B9" w:rsidR="00A153B9" w:rsidP="00A153B9" w:rsidRDefault="00A153B9" w14:paraId="2B9D225C" w14:textId="77777777">
      <w:pPr>
        <w:pStyle w:val="MainBullet"/>
        <w:numPr>
          <w:ilvl w:val="0"/>
          <w:numId w:val="0"/>
        </w:numPr>
        <w:ind w:left="680"/>
        <w:rPr>
          <w:i/>
          <w:iCs/>
          <w:sz w:val="20"/>
          <w:szCs w:val="20"/>
          <w:lang w:val="en-GB" w:eastAsia="zh-CN"/>
        </w:rPr>
      </w:pPr>
      <w:r w:rsidRPr="00A153B9">
        <w:rPr>
          <w:i/>
          <w:iCs/>
          <w:sz w:val="20"/>
          <w:szCs w:val="20"/>
          <w:lang w:val="en-GB" w:eastAsia="zh-CN"/>
        </w:rPr>
        <w:t>*The Faculty of Health Sciences may continue to use its own variant of annexe 1 on these grounds.</w:t>
      </w:r>
    </w:p>
    <w:p w:rsidRPr="00A153B9" w:rsidR="00A153B9" w:rsidP="00A153B9" w:rsidRDefault="00A153B9" w14:paraId="463BE655" w14:textId="77777777">
      <w:pPr>
        <w:pStyle w:val="Heading2"/>
        <w:numPr>
          <w:ilvl w:val="0"/>
          <w:numId w:val="0"/>
        </w:numPr>
        <w:ind w:left="680"/>
      </w:pPr>
      <w:bookmarkStart w:name="_Toc168929532" w:id="13"/>
      <w:r w:rsidRPr="00A153B9">
        <w:t>Complaints and appeals</w:t>
      </w:r>
      <w:bookmarkEnd w:id="13"/>
    </w:p>
    <w:p w:rsidRPr="00A153B9" w:rsidR="00A153B9" w:rsidP="00A153B9" w:rsidRDefault="00A153B9" w14:paraId="03002C97" w14:textId="4DD026E3">
      <w:pPr>
        <w:pStyle w:val="MainBullet"/>
        <w:rPr>
          <w:lang w:val="en-GB" w:eastAsia="zh-CN"/>
        </w:rPr>
      </w:pPr>
      <w:r w:rsidRPr="00A153B9">
        <w:rPr>
          <w:lang w:val="en-GB" w:eastAsia="zh-CN"/>
        </w:rPr>
        <w:t xml:space="preserve">An applicant who wishes to challenge a decision relating to their RPL application </w:t>
      </w:r>
      <w:r w:rsidRPr="00847E70">
        <w:rPr>
          <w:b/>
          <w:bCs w:val="0"/>
          <w:lang w:val="en-GB" w:eastAsia="zh-CN"/>
        </w:rPr>
        <w:t xml:space="preserve">must </w:t>
      </w:r>
      <w:r w:rsidRPr="00A153B9">
        <w:rPr>
          <w:lang w:val="en-GB" w:eastAsia="zh-CN"/>
        </w:rPr>
        <w:t xml:space="preserve">do so using the </w:t>
      </w:r>
      <w:hyperlink w:history="1" r:id="rId20">
        <w:r w:rsidRPr="00F11B79">
          <w:rPr>
            <w:rStyle w:val="Hyperlink"/>
            <w:lang w:val="en-GB" w:eastAsia="zh-CN"/>
          </w:rPr>
          <w:t>Complaints Procedure for Student Admissions</w:t>
        </w:r>
      </w:hyperlink>
      <w:r w:rsidRPr="00487621">
        <w:rPr>
          <w:lang w:val="en-GB" w:eastAsia="zh-CN"/>
        </w:rPr>
        <w:t>.</w:t>
      </w:r>
      <w:r w:rsidRPr="00A153B9">
        <w:rPr>
          <w:lang w:val="en-GB" w:eastAsia="zh-CN"/>
        </w:rPr>
        <w:t xml:space="preserve"> </w:t>
      </w:r>
    </w:p>
    <w:p w:rsidRPr="00A153B9" w:rsidR="00A153B9" w:rsidP="00A153B9" w:rsidRDefault="00A153B9" w14:paraId="73592BA3" w14:textId="77777777">
      <w:pPr>
        <w:pStyle w:val="MainBullet"/>
        <w:rPr>
          <w:lang w:val="en-GB" w:eastAsia="zh-CN"/>
        </w:rPr>
      </w:pPr>
      <w:r w:rsidRPr="00A153B9">
        <w:rPr>
          <w:lang w:val="en-GB" w:eastAsia="zh-CN"/>
        </w:rPr>
        <w:t xml:space="preserve">A registered student who wishes to challenge a decision relating to their RPL application </w:t>
      </w:r>
      <w:r w:rsidRPr="00847E70">
        <w:rPr>
          <w:b/>
          <w:bCs w:val="0"/>
          <w:lang w:val="en-GB" w:eastAsia="zh-CN"/>
        </w:rPr>
        <w:t>must</w:t>
      </w:r>
      <w:r w:rsidRPr="00A153B9">
        <w:rPr>
          <w:lang w:val="en-GB" w:eastAsia="zh-CN"/>
        </w:rPr>
        <w:t xml:space="preserve"> do so by lodging an appeal to the Secretary of the Student Cases Committee (taught provision) or Research Degrees Committee (research provision) within 10 working days of being notified in writing of the decision. The appeal will be considered in accordance with the University Code of Practice for Academic Appeals. </w:t>
      </w:r>
    </w:p>
    <w:p w:rsidRPr="00A153B9" w:rsidR="00A153B9" w:rsidP="00A153B9" w:rsidRDefault="00A153B9" w14:paraId="3EEC0440" w14:textId="77777777">
      <w:pPr>
        <w:pStyle w:val="Heading2"/>
        <w:numPr>
          <w:ilvl w:val="0"/>
          <w:numId w:val="0"/>
        </w:numPr>
        <w:ind w:left="680"/>
      </w:pPr>
      <w:bookmarkStart w:name="_Toc168929533" w:id="14"/>
      <w:r w:rsidRPr="00A153B9">
        <w:t>Registration</w:t>
      </w:r>
      <w:bookmarkEnd w:id="14"/>
    </w:p>
    <w:p w:rsidRPr="00A153B9" w:rsidR="00A153B9" w:rsidP="00A153B9" w:rsidRDefault="00A153B9" w14:paraId="7F6BE4C9" w14:textId="77777777">
      <w:pPr>
        <w:pStyle w:val="MainBullet"/>
        <w:rPr>
          <w:lang w:val="en-GB" w:eastAsia="zh-CN"/>
        </w:rPr>
      </w:pPr>
      <w:r w:rsidRPr="00A153B9">
        <w:rPr>
          <w:lang w:val="en-GB" w:eastAsia="zh-CN"/>
        </w:rPr>
        <w:t xml:space="preserve">Academic Services </w:t>
      </w:r>
      <w:r w:rsidRPr="00847E70">
        <w:rPr>
          <w:b/>
          <w:bCs w:val="0"/>
          <w:lang w:val="en-GB" w:eastAsia="zh-CN"/>
        </w:rPr>
        <w:t>must</w:t>
      </w:r>
      <w:r w:rsidRPr="00A153B9">
        <w:rPr>
          <w:lang w:val="en-GB" w:eastAsia="zh-CN"/>
        </w:rPr>
        <w:t xml:space="preserve"> be informed, through the standard registration process, of students joining the university as a result of an RPL application. The academic unit </w:t>
      </w:r>
      <w:r w:rsidRPr="00847E70">
        <w:rPr>
          <w:b/>
          <w:bCs w:val="0"/>
          <w:lang w:val="en-GB" w:eastAsia="zh-CN"/>
        </w:rPr>
        <w:t xml:space="preserve">must </w:t>
      </w:r>
      <w:r w:rsidRPr="00A153B9">
        <w:rPr>
          <w:lang w:val="en-GB" w:eastAsia="zh-CN"/>
        </w:rPr>
        <w:t>enter the information on the student record system detailing the applicant’s module exemptions, and the module mark for accredited modules if the credit has been awarded by the University of Hull and is classifiable (see 2 above).</w:t>
      </w:r>
    </w:p>
    <w:p w:rsidRPr="00A153B9" w:rsidR="00A153B9" w:rsidP="00A153B9" w:rsidRDefault="00A153B9" w14:paraId="01B719B8" w14:textId="77777777">
      <w:pPr>
        <w:pStyle w:val="Heading2"/>
        <w:numPr>
          <w:ilvl w:val="0"/>
          <w:numId w:val="0"/>
        </w:numPr>
        <w:ind w:left="680"/>
      </w:pPr>
      <w:bookmarkStart w:name="_Toc168929534" w:id="15"/>
      <w:r w:rsidRPr="00A153B9">
        <w:lastRenderedPageBreak/>
        <w:t>Fraudulent applications</w:t>
      </w:r>
      <w:bookmarkEnd w:id="15"/>
    </w:p>
    <w:p w:rsidRPr="00A153B9" w:rsidR="00A153B9" w:rsidP="00A153B9" w:rsidRDefault="00A153B9" w14:paraId="68626935" w14:textId="77777777">
      <w:pPr>
        <w:pStyle w:val="MainBullet"/>
        <w:rPr>
          <w:lang w:val="en-GB" w:eastAsia="zh-CN"/>
        </w:rPr>
      </w:pPr>
      <w:r w:rsidRPr="00A153B9">
        <w:rPr>
          <w:lang w:val="en-GB" w:eastAsia="zh-CN"/>
        </w:rPr>
        <w:t>Fraudulent statements made as part of an RPL application are considered to have been committed where a person or persons have purposefully misled another person or persons. Fraudulent statements can be regarding qualification or experience, providing a forged or fake certificate or transcript, a reference or other evidence to support an application, or deliberately omitting relevant information such as information relating to previous qualifications, or committing some other act of deception.</w:t>
      </w:r>
    </w:p>
    <w:p w:rsidRPr="00A153B9" w:rsidR="00A153B9" w:rsidP="00A153B9" w:rsidRDefault="00A153B9" w14:paraId="47B1435F" w14:textId="791D354B">
      <w:pPr>
        <w:pStyle w:val="MainBullet"/>
        <w:rPr>
          <w:lang w:val="en-GB" w:eastAsia="zh-CN"/>
        </w:rPr>
      </w:pPr>
      <w:r w:rsidRPr="00A153B9">
        <w:rPr>
          <w:lang w:val="en-GB" w:eastAsia="zh-CN"/>
        </w:rPr>
        <w:t xml:space="preserve">Where a fraudulent statement is suspected, it will be investigated and determined following the procedure in the </w:t>
      </w:r>
      <w:hyperlink w:history="1" r:id="rId21">
        <w:r w:rsidRPr="00F11B79">
          <w:rPr>
            <w:rStyle w:val="Hyperlink"/>
            <w:lang w:val="en-GB" w:eastAsia="zh-CN"/>
          </w:rPr>
          <w:t>General Policy for Student Admissions</w:t>
        </w:r>
      </w:hyperlink>
      <w:r w:rsidRPr="00A153B9">
        <w:rPr>
          <w:lang w:val="en-GB" w:eastAsia="zh-CN"/>
        </w:rPr>
        <w:t xml:space="preserve"> (para 4.5.1)</w:t>
      </w:r>
      <w:r w:rsidR="00487621">
        <w:rPr>
          <w:lang w:val="en-GB" w:eastAsia="zh-CN"/>
        </w:rPr>
        <w:t>.</w:t>
      </w:r>
      <w:r w:rsidRPr="00A153B9">
        <w:rPr>
          <w:lang w:val="en-GB" w:eastAsia="zh-CN"/>
        </w:rPr>
        <w:t xml:space="preserve"> </w:t>
      </w:r>
    </w:p>
    <w:p w:rsidR="00A153B9" w:rsidP="00A153B9" w:rsidRDefault="00A153B9" w14:paraId="7B767427" w14:textId="5428D653">
      <w:pPr>
        <w:pStyle w:val="Heading1"/>
      </w:pPr>
      <w:bookmarkStart w:name="_Toc168929535" w:id="16"/>
      <w:r>
        <w:t>Evidence Required</w:t>
      </w:r>
      <w:bookmarkEnd w:id="16"/>
    </w:p>
    <w:p w:rsidRPr="00A153B9" w:rsidR="00A153B9" w:rsidP="00A153B9" w:rsidRDefault="00A153B9" w14:paraId="6A373BD7" w14:textId="77777777">
      <w:pPr>
        <w:pStyle w:val="MainBullet"/>
        <w:rPr>
          <w:lang w:val="en-GB" w:eastAsia="zh-CN"/>
        </w:rPr>
      </w:pPr>
      <w:r w:rsidRPr="00A153B9">
        <w:rPr>
          <w:lang w:val="en-GB" w:eastAsia="zh-CN"/>
        </w:rPr>
        <w:t xml:space="preserve">In order to recognise prior learning, the academic unit </w:t>
      </w:r>
      <w:r w:rsidRPr="00847E70">
        <w:rPr>
          <w:b/>
          <w:bCs w:val="0"/>
          <w:lang w:val="en-GB" w:eastAsia="zh-CN"/>
        </w:rPr>
        <w:t xml:space="preserve">must </w:t>
      </w:r>
      <w:r w:rsidRPr="00A153B9">
        <w:rPr>
          <w:lang w:val="en-GB" w:eastAsia="zh-CN"/>
        </w:rPr>
        <w:t>assure itself that the learning derived from the prior certificated study and/or experience is equivalent to that of the learning that might have been achieved by following the exempted element(s) of the programme of study to which the applicant seeks admission.  What constitutes equivalence is a matter of academic judgement.</w:t>
      </w:r>
    </w:p>
    <w:p w:rsidRPr="00A153B9" w:rsidR="00A153B9" w:rsidP="00A153B9" w:rsidRDefault="00A153B9" w14:paraId="63FF8866" w14:textId="77777777">
      <w:pPr>
        <w:pStyle w:val="MainBullet"/>
        <w:rPr>
          <w:lang w:val="en-GB" w:eastAsia="zh-CN"/>
        </w:rPr>
      </w:pPr>
      <w:r w:rsidRPr="00A153B9">
        <w:rPr>
          <w:lang w:val="en-GB" w:eastAsia="zh-CN"/>
        </w:rPr>
        <w:t xml:space="preserve">Applicants are responsible for providing the academic unit with all relevant evidence to support the application for RPL, whether certificated or experiential. </w:t>
      </w:r>
    </w:p>
    <w:p w:rsidRPr="00A153B9" w:rsidR="00A153B9" w:rsidP="00A153B9" w:rsidRDefault="00A153B9" w14:paraId="5D2098C1" w14:textId="77777777">
      <w:pPr>
        <w:pStyle w:val="MainBullet"/>
        <w:rPr>
          <w:lang w:val="en-GB" w:eastAsia="zh-CN"/>
        </w:rPr>
      </w:pPr>
      <w:r w:rsidRPr="00A153B9">
        <w:rPr>
          <w:lang w:val="en-GB" w:eastAsia="zh-CN"/>
        </w:rPr>
        <w:t xml:space="preserve">Evidence </w:t>
      </w:r>
      <w:r w:rsidRPr="00847E70">
        <w:rPr>
          <w:b/>
          <w:bCs w:val="0"/>
          <w:lang w:val="en-GB" w:eastAsia="zh-CN"/>
        </w:rPr>
        <w:t xml:space="preserve">must </w:t>
      </w:r>
      <w:r w:rsidRPr="00A153B9">
        <w:rPr>
          <w:lang w:val="en-GB" w:eastAsia="zh-CN"/>
        </w:rPr>
        <w:t>accord with the following principles:</w:t>
      </w:r>
    </w:p>
    <w:p w:rsidR="00A153B9" w:rsidP="00A153B9" w:rsidRDefault="00A153B9" w14:paraId="46910CF0" w14:textId="77777777">
      <w:pPr>
        <w:pStyle w:val="MainBullet"/>
        <w:numPr>
          <w:ilvl w:val="2"/>
          <w:numId w:val="27"/>
        </w:numPr>
        <w:rPr>
          <w:lang w:val="en-GB" w:eastAsia="zh-CN"/>
        </w:rPr>
      </w:pPr>
      <w:r w:rsidRPr="00194D68">
        <w:rPr>
          <w:b/>
          <w:bCs w:val="0"/>
          <w:lang w:val="en-GB" w:eastAsia="zh-CN"/>
        </w:rPr>
        <w:t>Acceptability:</w:t>
      </w:r>
      <w:r w:rsidRPr="00A153B9">
        <w:rPr>
          <w:lang w:val="en-GB" w:eastAsia="zh-CN"/>
        </w:rPr>
        <w:t xml:space="preserve"> there </w:t>
      </w:r>
      <w:r w:rsidRPr="00847E70">
        <w:rPr>
          <w:b/>
          <w:bCs w:val="0"/>
          <w:lang w:val="en-GB" w:eastAsia="zh-CN"/>
        </w:rPr>
        <w:t>must</w:t>
      </w:r>
      <w:r w:rsidRPr="00A153B9">
        <w:rPr>
          <w:lang w:val="en-GB" w:eastAsia="zh-CN"/>
        </w:rPr>
        <w:t xml:space="preserve"> be an appropriate match (in terms of breadth and depth of content) between the evidenced learning and the modules against which credit is being claimed.  This is a matter of academic judgement.</w:t>
      </w:r>
    </w:p>
    <w:p w:rsidRPr="00A153B9" w:rsidR="00A153B9" w:rsidP="00A153B9" w:rsidRDefault="00A153B9" w14:paraId="4DDA445F" w14:textId="77777777">
      <w:pPr>
        <w:pStyle w:val="MainBullet"/>
        <w:numPr>
          <w:ilvl w:val="2"/>
          <w:numId w:val="27"/>
        </w:numPr>
        <w:rPr>
          <w:lang w:val="en-GB" w:eastAsia="zh-CN"/>
        </w:rPr>
      </w:pPr>
      <w:r w:rsidRPr="00194D68">
        <w:rPr>
          <w:b/>
          <w:bCs w:val="0"/>
          <w:lang w:val="en-GB" w:eastAsia="zh-CN"/>
        </w:rPr>
        <w:t>Sufficiency:</w:t>
      </w:r>
      <w:r w:rsidRPr="00A153B9">
        <w:rPr>
          <w:lang w:val="en-GB" w:eastAsia="zh-CN"/>
        </w:rPr>
        <w:t xml:space="preserve"> the credit achieved through RPCL, or the extent of experiential learning, </w:t>
      </w:r>
      <w:r w:rsidRPr="00847E70">
        <w:rPr>
          <w:b/>
          <w:bCs w:val="0"/>
          <w:lang w:val="en-GB" w:eastAsia="zh-CN"/>
        </w:rPr>
        <w:t>must</w:t>
      </w:r>
      <w:r w:rsidRPr="00A153B9">
        <w:rPr>
          <w:lang w:val="en-GB" w:eastAsia="zh-CN"/>
        </w:rPr>
        <w:t xml:space="preserve"> be sufficient to support the volume of credit claimed at the correct level. All learning associated with the module applied for </w:t>
      </w:r>
      <w:r w:rsidRPr="00847E70">
        <w:rPr>
          <w:b/>
          <w:bCs w:val="0"/>
          <w:lang w:val="en-GB" w:eastAsia="zh-CN"/>
        </w:rPr>
        <w:t>must</w:t>
      </w:r>
      <w:r w:rsidRPr="00A153B9">
        <w:rPr>
          <w:lang w:val="en-GB" w:eastAsia="zh-CN"/>
        </w:rPr>
        <w:t xml:space="preserve"> be demonstrated in the application.  This is a matter of academic judgement.</w:t>
      </w:r>
    </w:p>
    <w:p w:rsidRPr="00A153B9" w:rsidR="00A153B9" w:rsidP="00A153B9" w:rsidRDefault="00A153B9" w14:paraId="497DD30B" w14:textId="77777777">
      <w:pPr>
        <w:pStyle w:val="MainBullet"/>
        <w:numPr>
          <w:ilvl w:val="2"/>
          <w:numId w:val="27"/>
        </w:numPr>
        <w:rPr>
          <w:lang w:val="en-GB" w:eastAsia="zh-CN"/>
        </w:rPr>
      </w:pPr>
      <w:r w:rsidRPr="00194D68">
        <w:rPr>
          <w:b/>
          <w:bCs w:val="0"/>
          <w:lang w:val="en-GB" w:eastAsia="zh-CN"/>
        </w:rPr>
        <w:t>Authenticated:</w:t>
      </w:r>
      <w:r w:rsidRPr="00A153B9">
        <w:rPr>
          <w:lang w:val="en-GB" w:eastAsia="zh-CN"/>
        </w:rPr>
        <w:t xml:space="preserve"> through objective evidence from a source other than the applicant - such as an official transcript or programme specification</w:t>
      </w:r>
    </w:p>
    <w:p w:rsidRPr="00A153B9" w:rsidR="00A153B9" w:rsidP="00A153B9" w:rsidRDefault="00A153B9" w14:paraId="3E2AEB25" w14:textId="32E60155">
      <w:pPr>
        <w:pStyle w:val="MainBullet"/>
        <w:numPr>
          <w:ilvl w:val="2"/>
          <w:numId w:val="27"/>
        </w:numPr>
        <w:rPr>
          <w:lang w:val="en-GB" w:eastAsia="zh-CN"/>
        </w:rPr>
      </w:pPr>
      <w:r w:rsidRPr="00194D68">
        <w:rPr>
          <w:b/>
          <w:bCs w:val="0"/>
          <w:lang w:val="en-GB" w:eastAsia="zh-CN"/>
        </w:rPr>
        <w:t>Currency*:</w:t>
      </w:r>
      <w:r w:rsidRPr="00A153B9">
        <w:rPr>
          <w:lang w:val="en-GB" w:eastAsia="zh-CN"/>
        </w:rPr>
        <w:t xml:space="preserve"> the prior learning </w:t>
      </w:r>
      <w:r w:rsidRPr="00847E70">
        <w:rPr>
          <w:b/>
          <w:bCs w:val="0"/>
          <w:lang w:val="en-GB" w:eastAsia="zh-CN"/>
        </w:rPr>
        <w:t>must</w:t>
      </w:r>
      <w:r w:rsidRPr="00A153B9">
        <w:rPr>
          <w:lang w:val="en-GB" w:eastAsia="zh-CN"/>
        </w:rPr>
        <w:t xml:space="preserve"> be no greater than nine years old, and within that timescale, sufficiently contemporaneous to be still relevant to the subject.</w:t>
      </w:r>
    </w:p>
    <w:p w:rsidRPr="00A153B9" w:rsidR="00A153B9" w:rsidP="00A153B9" w:rsidRDefault="00A153B9" w14:paraId="16F33C35" w14:textId="44B6A4A5">
      <w:pPr>
        <w:pStyle w:val="MainBullet"/>
        <w:numPr>
          <w:ilvl w:val="0"/>
          <w:numId w:val="0"/>
        </w:numPr>
        <w:ind w:left="680"/>
        <w:rPr>
          <w:i/>
          <w:iCs/>
          <w:sz w:val="20"/>
          <w:szCs w:val="20"/>
          <w:lang w:val="en-GB" w:eastAsia="zh-CN"/>
        </w:rPr>
      </w:pPr>
      <w:r w:rsidRPr="00A153B9">
        <w:rPr>
          <w:i/>
          <w:iCs/>
          <w:sz w:val="20"/>
          <w:szCs w:val="20"/>
          <w:lang w:val="en-GB" w:eastAsia="zh-CN"/>
        </w:rPr>
        <w:t>* Currency: The University limit is an upper threshold, and it is permissible for professional body requirements to override this.</w:t>
      </w:r>
    </w:p>
    <w:p w:rsidR="00A153B9" w:rsidP="00A153B9" w:rsidRDefault="00A153B9" w14:paraId="4BAAEF4B" w14:textId="30659BF6">
      <w:pPr>
        <w:pStyle w:val="Heading1"/>
      </w:pPr>
      <w:bookmarkStart w:name="_Toc168929536" w:id="17"/>
      <w:r>
        <w:t>RPCL</w:t>
      </w:r>
      <w:bookmarkEnd w:id="17"/>
    </w:p>
    <w:p w:rsidRPr="00A153B9" w:rsidR="00A153B9" w:rsidP="00A153B9" w:rsidRDefault="00A153B9" w14:paraId="2E7869AD" w14:textId="77777777">
      <w:pPr>
        <w:pStyle w:val="MainBullet"/>
        <w:rPr>
          <w:lang w:val="en-GB" w:eastAsia="zh-CN"/>
        </w:rPr>
      </w:pPr>
      <w:r w:rsidRPr="00A153B9">
        <w:rPr>
          <w:lang w:val="en-GB" w:eastAsia="zh-CN"/>
        </w:rPr>
        <w:t xml:space="preserve">In determining an application for RPCL, the academic unit </w:t>
      </w:r>
      <w:r w:rsidRPr="00847E70">
        <w:rPr>
          <w:b/>
          <w:bCs w:val="0"/>
          <w:lang w:val="en-GB" w:eastAsia="zh-CN"/>
        </w:rPr>
        <w:t>should</w:t>
      </w:r>
      <w:r w:rsidRPr="00A153B9">
        <w:rPr>
          <w:lang w:val="en-GB" w:eastAsia="zh-CN"/>
        </w:rPr>
        <w:t xml:space="preserve"> consider the official transcript (or equivalent) produced by the HEI or other issuing body which awarded the credit. There may be instances where the applicant has not yet completed modules to be reported on a transcript, (i.e., the applicant has completed one or more certificated modules but has not completed the certificated stage). In these cases, academic references from the previous university will be the main form of evidence, and any offer would be conditional. </w:t>
      </w:r>
    </w:p>
    <w:p w:rsidR="00A153B9" w:rsidP="00A153B9" w:rsidRDefault="00A153B9" w14:paraId="07FAD017" w14:textId="77777777">
      <w:pPr>
        <w:pStyle w:val="MainBullet"/>
        <w:rPr>
          <w:lang w:val="en-GB" w:eastAsia="zh-CN"/>
        </w:rPr>
      </w:pPr>
      <w:r w:rsidRPr="00A153B9">
        <w:rPr>
          <w:lang w:val="en-GB" w:eastAsia="zh-CN"/>
        </w:rPr>
        <w:t xml:space="preserve">In addition, the academic unit </w:t>
      </w:r>
      <w:r w:rsidRPr="00847E70">
        <w:rPr>
          <w:b/>
          <w:bCs w:val="0"/>
          <w:lang w:val="en-GB" w:eastAsia="zh-CN"/>
        </w:rPr>
        <w:t>should</w:t>
      </w:r>
      <w:r w:rsidRPr="00A153B9">
        <w:rPr>
          <w:lang w:val="en-GB" w:eastAsia="zh-CN"/>
        </w:rPr>
        <w:t xml:space="preserve"> consider:</w:t>
      </w:r>
    </w:p>
    <w:p w:rsidR="00A153B9" w:rsidP="00A153B9" w:rsidRDefault="00A153B9" w14:paraId="36DF23D5" w14:textId="0D8A21FA">
      <w:pPr>
        <w:pStyle w:val="MainBullet"/>
        <w:numPr>
          <w:ilvl w:val="2"/>
          <w:numId w:val="27"/>
        </w:numPr>
        <w:rPr>
          <w:lang w:val="en-GB" w:eastAsia="zh-CN"/>
        </w:rPr>
      </w:pPr>
      <w:r w:rsidRPr="00A153B9">
        <w:rPr>
          <w:lang w:val="en-GB" w:eastAsia="zh-CN"/>
        </w:rPr>
        <w:t>An academic reference from an appropriate person at the relevant HEI.</w:t>
      </w:r>
    </w:p>
    <w:p w:rsidRPr="00A153B9" w:rsidR="00A153B9" w:rsidP="00A153B9" w:rsidRDefault="00A153B9" w14:paraId="70BBE917" w14:textId="32B2D0A5">
      <w:pPr>
        <w:pStyle w:val="MainBullet"/>
        <w:numPr>
          <w:ilvl w:val="2"/>
          <w:numId w:val="27"/>
        </w:numPr>
        <w:rPr>
          <w:lang w:val="en-GB" w:eastAsia="zh-CN"/>
        </w:rPr>
      </w:pPr>
      <w:r w:rsidRPr="00A153B9">
        <w:rPr>
          <w:lang w:val="en-GB" w:eastAsia="zh-CN"/>
        </w:rPr>
        <w:t xml:space="preserve">Relevant programme and module specifications/handbooks, including, where </w:t>
      </w:r>
      <w:r w:rsidRPr="00A153B9">
        <w:rPr>
          <w:lang w:val="en-GB" w:eastAsia="zh-CN"/>
        </w:rPr>
        <w:lastRenderedPageBreak/>
        <w:t xml:space="preserve">necessary, the mapping of specific learning.  (Academic units </w:t>
      </w:r>
      <w:r w:rsidRPr="00847E70">
        <w:rPr>
          <w:b/>
          <w:bCs w:val="0"/>
          <w:lang w:val="en-GB" w:eastAsia="zh-CN"/>
        </w:rPr>
        <w:t>must</w:t>
      </w:r>
      <w:r w:rsidRPr="00A153B9">
        <w:rPr>
          <w:lang w:val="en-GB" w:eastAsia="zh-CN"/>
        </w:rPr>
        <w:t xml:space="preserve"> provide appropriate support to applicants to conduct the mapping of prior learning</w:t>
      </w:r>
      <w:r w:rsidRPr="00A153B9">
        <w:t xml:space="preserve"> </w:t>
      </w:r>
      <w:r w:rsidRPr="00A153B9">
        <w:rPr>
          <w:lang w:val="en-GB" w:eastAsia="zh-CN"/>
        </w:rPr>
        <w:t xml:space="preserve">to the programme of study in question. Annexe 1 </w:t>
      </w:r>
      <w:r w:rsidRPr="00847E70">
        <w:rPr>
          <w:b/>
          <w:bCs w:val="0"/>
          <w:lang w:val="en-GB" w:eastAsia="zh-CN"/>
        </w:rPr>
        <w:t>should</w:t>
      </w:r>
      <w:r w:rsidRPr="00A153B9">
        <w:rPr>
          <w:lang w:val="en-GB" w:eastAsia="zh-CN"/>
        </w:rPr>
        <w:t xml:space="preserve"> be used for this purpose).</w:t>
      </w:r>
    </w:p>
    <w:p w:rsidRPr="00A153B9" w:rsidR="00A153B9" w:rsidP="00A153B9" w:rsidRDefault="00A153B9" w14:paraId="0669E695" w14:textId="30E4884B">
      <w:pPr>
        <w:pStyle w:val="MainBullet"/>
        <w:numPr>
          <w:ilvl w:val="2"/>
          <w:numId w:val="27"/>
        </w:numPr>
        <w:rPr>
          <w:lang w:val="en-GB" w:eastAsia="zh-CN"/>
        </w:rPr>
      </w:pPr>
      <w:r w:rsidRPr="00A153B9">
        <w:rPr>
          <w:lang w:val="en-GB" w:eastAsia="zh-CN"/>
        </w:rPr>
        <w:t>Regulations or policies explaining the allocation of credit and grading scheme of the relevant HEI (this may be provided as part of the official transcript).</w:t>
      </w:r>
    </w:p>
    <w:p w:rsidRPr="00A153B9" w:rsidR="00A153B9" w:rsidP="00A153B9" w:rsidRDefault="00A153B9" w14:paraId="69D12BCD" w14:textId="77777777">
      <w:pPr>
        <w:pStyle w:val="MainBullet"/>
        <w:rPr>
          <w:lang w:val="en-GB" w:eastAsia="zh-CN"/>
        </w:rPr>
      </w:pPr>
      <w:r w:rsidRPr="00A153B9">
        <w:rPr>
          <w:lang w:val="en-GB" w:eastAsia="zh-CN"/>
        </w:rPr>
        <w:t xml:space="preserve">An applicant may have completed a module in the subject specialist area within the discipline, but the academic unit may not offer that subject specialism. Where appropriate, this learning may be accredited/recognised for prior learning if the applicant can demonstrate that the learning achieved on the module meets the relevant programme competencies on the programme applied for. </w:t>
      </w:r>
    </w:p>
    <w:p w:rsidR="00A153B9" w:rsidP="00A153B9" w:rsidRDefault="00A153B9" w14:paraId="268D0B2A" w14:textId="55FC37B5">
      <w:pPr>
        <w:pStyle w:val="Heading1"/>
      </w:pPr>
      <w:bookmarkStart w:name="_Toc168929537" w:id="18"/>
      <w:r>
        <w:t>RPEL</w:t>
      </w:r>
      <w:bookmarkEnd w:id="18"/>
    </w:p>
    <w:p w:rsidRPr="00A153B9" w:rsidR="00A153B9" w:rsidP="00A153B9" w:rsidRDefault="00A153B9" w14:paraId="12D084AC" w14:textId="77777777">
      <w:pPr>
        <w:pStyle w:val="MainBullet"/>
        <w:rPr>
          <w:lang w:val="en-GB" w:eastAsia="zh-CN"/>
        </w:rPr>
      </w:pPr>
      <w:r w:rsidRPr="00A153B9">
        <w:rPr>
          <w:lang w:val="en-GB" w:eastAsia="zh-CN"/>
        </w:rPr>
        <w:t xml:space="preserve">Decisions </w:t>
      </w:r>
      <w:r w:rsidRPr="00847E70">
        <w:rPr>
          <w:b/>
          <w:bCs w:val="0"/>
          <w:lang w:val="en-GB" w:eastAsia="zh-CN"/>
        </w:rPr>
        <w:t>must</w:t>
      </w:r>
      <w:r w:rsidRPr="00A153B9">
        <w:rPr>
          <w:lang w:val="en-GB" w:eastAsia="zh-CN"/>
        </w:rPr>
        <w:t xml:space="preserve"> be based on a portfolio of evidence which reflects the principles set out in 7.3 above. Prior to an application being submitted informal discussion </w:t>
      </w:r>
      <w:r w:rsidRPr="00847E70">
        <w:rPr>
          <w:b/>
          <w:bCs w:val="0"/>
          <w:lang w:val="en-GB" w:eastAsia="zh-CN"/>
        </w:rPr>
        <w:t>should</w:t>
      </w:r>
      <w:r w:rsidRPr="00A153B9">
        <w:rPr>
          <w:lang w:val="en-GB" w:eastAsia="zh-CN"/>
        </w:rPr>
        <w:t xml:space="preserve"> take place between the academic unit and the applicant to clarify the range and type of evidence likely to be available and its potential appropriateness bearing in mind that collating such evidence, and evaluating it, is likely to be time consuming both for the applicant and for the academic unit. During such informal discussion the academic unit </w:t>
      </w:r>
      <w:r w:rsidRPr="00847E70">
        <w:rPr>
          <w:b/>
          <w:bCs w:val="0"/>
          <w:lang w:val="en-GB" w:eastAsia="zh-CN"/>
        </w:rPr>
        <w:t>should</w:t>
      </w:r>
      <w:r w:rsidRPr="00A153B9">
        <w:rPr>
          <w:lang w:val="en-GB" w:eastAsia="zh-CN"/>
        </w:rPr>
        <w:t xml:space="preserve"> ensure that the applicant is provided with the relevant module specifications.</w:t>
      </w:r>
    </w:p>
    <w:p w:rsidRPr="00A153B9" w:rsidR="00A153B9" w:rsidP="00A153B9" w:rsidRDefault="00A153B9" w14:paraId="647E8410" w14:textId="77777777">
      <w:pPr>
        <w:pStyle w:val="MainBullet"/>
        <w:rPr>
          <w:lang w:val="en-GB" w:eastAsia="zh-CN"/>
        </w:rPr>
      </w:pPr>
      <w:r w:rsidRPr="00A153B9">
        <w:rPr>
          <w:lang w:val="en-GB" w:eastAsia="zh-CN"/>
        </w:rPr>
        <w:t xml:space="preserve">In evaluating evidence of RPEL particular attention </w:t>
      </w:r>
      <w:r w:rsidRPr="00847E70">
        <w:rPr>
          <w:b/>
          <w:bCs w:val="0"/>
          <w:lang w:val="en-GB" w:eastAsia="zh-CN"/>
        </w:rPr>
        <w:t xml:space="preserve">should </w:t>
      </w:r>
      <w:r w:rsidRPr="00A153B9">
        <w:rPr>
          <w:lang w:val="en-GB" w:eastAsia="zh-CN"/>
        </w:rPr>
        <w:t>be paid to:</w:t>
      </w:r>
    </w:p>
    <w:p w:rsidRPr="00A153B9" w:rsidR="00A153B9" w:rsidP="00A153B9" w:rsidRDefault="00A153B9" w14:paraId="649D41E3" w14:textId="77777777">
      <w:pPr>
        <w:pStyle w:val="MainBullet"/>
        <w:numPr>
          <w:ilvl w:val="2"/>
          <w:numId w:val="27"/>
        </w:numPr>
        <w:rPr>
          <w:lang w:val="en-GB" w:eastAsia="zh-CN"/>
        </w:rPr>
      </w:pPr>
      <w:r w:rsidRPr="00A153B9">
        <w:rPr>
          <w:lang w:val="en-GB" w:eastAsia="zh-CN"/>
        </w:rPr>
        <w:t>Identifying relevant experience and the learning achieved from that experience.</w:t>
      </w:r>
    </w:p>
    <w:p w:rsidRPr="00A153B9" w:rsidR="00A153B9" w:rsidP="00A153B9" w:rsidRDefault="00A153B9" w14:paraId="7FF586C4" w14:textId="77777777">
      <w:pPr>
        <w:pStyle w:val="MainBullet"/>
        <w:numPr>
          <w:ilvl w:val="2"/>
          <w:numId w:val="27"/>
        </w:numPr>
        <w:rPr>
          <w:lang w:val="en-GB" w:eastAsia="zh-CN"/>
        </w:rPr>
      </w:pPr>
      <w:r w:rsidRPr="00A153B9">
        <w:rPr>
          <w:lang w:val="en-GB" w:eastAsia="zh-CN"/>
        </w:rPr>
        <w:t>Assessing the comparability of learning to the University module, taking into account module content and level.</w:t>
      </w:r>
    </w:p>
    <w:p w:rsidRPr="00A153B9" w:rsidR="00A153B9" w:rsidP="00A153B9" w:rsidRDefault="00A153B9" w14:paraId="093FFD39" w14:textId="77777777">
      <w:pPr>
        <w:pStyle w:val="MainBullet"/>
        <w:numPr>
          <w:ilvl w:val="2"/>
          <w:numId w:val="27"/>
        </w:numPr>
        <w:rPr>
          <w:lang w:val="en-GB" w:eastAsia="zh-CN"/>
        </w:rPr>
      </w:pPr>
      <w:r w:rsidRPr="00A153B9">
        <w:rPr>
          <w:lang w:val="en-GB" w:eastAsia="zh-CN"/>
        </w:rPr>
        <w:t>Ensuring that if recognition of prior learning is granted it is likely that the applicant will be able to cope with the demands of the programme.</w:t>
      </w:r>
    </w:p>
    <w:p w:rsidR="00A153B9" w:rsidP="00A153B9" w:rsidRDefault="00A153B9" w14:paraId="2A2FA6A6" w14:textId="1AAAE195">
      <w:pPr>
        <w:pStyle w:val="Heading1"/>
      </w:pPr>
      <w:bookmarkStart w:name="_Toc168929538" w:id="19"/>
      <w:r>
        <w:t>Monitoring and Review</w:t>
      </w:r>
      <w:bookmarkEnd w:id="19"/>
    </w:p>
    <w:p w:rsidRPr="00A153B9" w:rsidR="00A153B9" w:rsidP="00A153B9" w:rsidRDefault="00A153B9" w14:paraId="162125D5" w14:textId="77777777">
      <w:pPr>
        <w:pStyle w:val="MainBullet"/>
        <w:rPr>
          <w:lang w:val="en-GB" w:eastAsia="zh-CN"/>
        </w:rPr>
      </w:pPr>
      <w:r w:rsidRPr="00A153B9">
        <w:rPr>
          <w:lang w:val="en-GB" w:eastAsia="zh-CN"/>
        </w:rPr>
        <w:t>Academic units are responsible for monitoring applications for, and decisions relating to, RPL including tracking the performance of candidates admitted with RPL.</w:t>
      </w:r>
    </w:p>
    <w:p w:rsidRPr="00A153B9" w:rsidR="00A153B9" w:rsidP="00A153B9" w:rsidRDefault="00A153B9" w14:paraId="10B51002" w14:textId="77777777">
      <w:pPr>
        <w:pStyle w:val="MainBullet"/>
        <w:rPr>
          <w:lang w:val="en-GB" w:eastAsia="zh-CN"/>
        </w:rPr>
      </w:pPr>
      <w:r w:rsidRPr="00A153B9">
        <w:rPr>
          <w:lang w:val="en-GB" w:eastAsia="zh-CN"/>
        </w:rPr>
        <w:t>Faculties are responsible for providing an overview of the operation of RPL procedures through the Continual Monitoring, Evaluation and Enhancement (CMEE) process.</w:t>
      </w:r>
    </w:p>
    <w:p w:rsidRPr="00A153B9" w:rsidR="00A153B9" w:rsidP="00A153B9" w:rsidRDefault="00A153B9" w14:paraId="0D33D5FA" w14:textId="77777777">
      <w:pPr>
        <w:pStyle w:val="MainBullet"/>
        <w:rPr>
          <w:lang w:val="en-GB" w:eastAsia="zh-CN"/>
        </w:rPr>
      </w:pPr>
      <w:r w:rsidRPr="00A153B9">
        <w:rPr>
          <w:lang w:val="en-GB" w:eastAsia="zh-CN"/>
        </w:rPr>
        <w:t xml:space="preserve">Partners are responsible for providing an overview of RPL procedures in the Annual Monitoring, Review and Enhancement of Programmes process (AMREP).  </w:t>
      </w:r>
    </w:p>
    <w:p w:rsidRPr="00A153B9" w:rsidR="00A153B9" w:rsidP="00A153B9" w:rsidRDefault="00A153B9" w14:paraId="22FB2B4A" w14:textId="77777777">
      <w:pPr>
        <w:pStyle w:val="MainBullet"/>
        <w:numPr>
          <w:ilvl w:val="0"/>
          <w:numId w:val="0"/>
        </w:numPr>
        <w:ind w:left="680"/>
        <w:rPr>
          <w:lang w:val="en-GB" w:eastAsia="zh-CN"/>
        </w:rPr>
      </w:pPr>
    </w:p>
    <w:p w:rsidRPr="002A12C1" w:rsidR="002A12C1" w:rsidP="002A12C1" w:rsidRDefault="002A12C1" w14:paraId="62CA1CF6" w14:textId="77777777">
      <w:pPr>
        <w:pStyle w:val="Heading2"/>
        <w:numPr>
          <w:ilvl w:val="0"/>
          <w:numId w:val="0"/>
        </w:numPr>
        <w:ind w:left="680"/>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68929539" w:id="20"/>
      <w:r w:rsidRPr="00DC1437">
        <w:lastRenderedPageBreak/>
        <w:t xml:space="preserve">Version </w:t>
      </w:r>
      <w:r w:rsidR="00085124">
        <w:t>c</w:t>
      </w:r>
      <w:r w:rsidRPr="00DC1437">
        <w:t>ontrol</w:t>
      </w:r>
      <w:bookmarkEnd w:id="2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EE01FF" w:rsidTr="005E53B3" w14:paraId="147B5052" w14:textId="77777777">
        <w:tc>
          <w:tcPr>
            <w:tcW w:w="572" w:type="pct"/>
          </w:tcPr>
          <w:p w:rsidRPr="00194D68" w:rsidR="00EE01FF" w:rsidP="00EE01FF" w:rsidRDefault="00EE01FF" w14:paraId="66A205BA" w14:textId="709102F6">
            <w:pPr>
              <w:rPr>
                <w:rFonts w:cs="Arial"/>
                <w:sz w:val="20"/>
                <w:szCs w:val="20"/>
              </w:rPr>
            </w:pPr>
            <w:r>
              <w:rPr>
                <w:rFonts w:cs="Arial"/>
                <w:sz w:val="20"/>
                <w:szCs w:val="20"/>
              </w:rPr>
              <w:t>3 01</w:t>
            </w:r>
          </w:p>
        </w:tc>
        <w:tc>
          <w:tcPr>
            <w:tcW w:w="1804" w:type="pct"/>
          </w:tcPr>
          <w:p w:rsidRPr="00194D68" w:rsidR="00EE01FF" w:rsidP="00EE01FF" w:rsidRDefault="00EE01FF" w14:paraId="70C28DA1" w14:textId="424D77AD">
            <w:pPr>
              <w:rPr>
                <w:rFonts w:cs="Arial"/>
                <w:sz w:val="20"/>
                <w:szCs w:val="20"/>
              </w:rPr>
            </w:pPr>
            <w:r w:rsidRPr="00194D68">
              <w:rPr>
                <w:rFonts w:cs="Arial"/>
                <w:sz w:val="20"/>
                <w:szCs w:val="20"/>
              </w:rPr>
              <w:t>Quality Manger, Quality Support Service</w:t>
            </w:r>
          </w:p>
        </w:tc>
        <w:tc>
          <w:tcPr>
            <w:tcW w:w="984" w:type="pct"/>
          </w:tcPr>
          <w:p w:rsidRPr="00194D68" w:rsidR="00EE01FF" w:rsidP="00EE01FF" w:rsidRDefault="00EE01FF" w14:paraId="72C04A41" w14:textId="30F4F5ED">
            <w:pPr>
              <w:rPr>
                <w:rFonts w:cs="Arial"/>
                <w:sz w:val="20"/>
                <w:szCs w:val="20"/>
              </w:rPr>
            </w:pPr>
            <w:r w:rsidRPr="00194D68">
              <w:rPr>
                <w:rFonts w:cs="Arial"/>
                <w:sz w:val="20"/>
                <w:szCs w:val="20"/>
              </w:rPr>
              <w:t>NA</w:t>
            </w:r>
          </w:p>
        </w:tc>
        <w:tc>
          <w:tcPr>
            <w:tcW w:w="1640" w:type="pct"/>
          </w:tcPr>
          <w:p w:rsidRPr="00194D68" w:rsidR="00EE01FF" w:rsidP="00EE01FF" w:rsidRDefault="00EE01FF" w14:paraId="55ED87B0" w14:textId="6C176E39">
            <w:pPr>
              <w:rPr>
                <w:rFonts w:cs="Arial"/>
                <w:sz w:val="20"/>
                <w:szCs w:val="20"/>
              </w:rPr>
            </w:pPr>
            <w:r w:rsidRPr="00194D68">
              <w:rPr>
                <w:rFonts w:cs="Arial"/>
                <w:sz w:val="20"/>
                <w:szCs w:val="20"/>
              </w:rPr>
              <w:t xml:space="preserve">Housekeeping, </w:t>
            </w:r>
            <w:r>
              <w:rPr>
                <w:rFonts w:cs="Arial"/>
                <w:sz w:val="20"/>
                <w:szCs w:val="20"/>
              </w:rPr>
              <w:t>March 2025, updates to reflect new committee structure</w:t>
            </w:r>
          </w:p>
        </w:tc>
      </w:tr>
      <w:tr w:rsidRPr="002E6BBA" w:rsidR="008F2463" w:rsidTr="005E53B3" w14:paraId="04C0DC0E" w14:textId="1DAF46B7">
        <w:tc>
          <w:tcPr>
            <w:tcW w:w="572" w:type="pct"/>
          </w:tcPr>
          <w:p w:rsidRPr="00194D68" w:rsidR="008F2463" w:rsidP="008F2463" w:rsidRDefault="008F2463" w14:paraId="0B5BB639" w14:textId="1A4B6E31">
            <w:pPr>
              <w:rPr>
                <w:rFonts w:cs="Arial"/>
                <w:sz w:val="20"/>
                <w:szCs w:val="20"/>
              </w:rPr>
            </w:pPr>
          </w:p>
        </w:tc>
        <w:tc>
          <w:tcPr>
            <w:tcW w:w="1804" w:type="pct"/>
          </w:tcPr>
          <w:p w:rsidRPr="00194D68" w:rsidR="008F2463" w:rsidP="008F2463" w:rsidRDefault="00194D68" w14:paraId="586A713D" w14:textId="353E209D">
            <w:pPr>
              <w:rPr>
                <w:rFonts w:cs="Arial"/>
                <w:sz w:val="20"/>
                <w:szCs w:val="20"/>
              </w:rPr>
            </w:pPr>
            <w:r w:rsidRPr="00194D68">
              <w:rPr>
                <w:rFonts w:cs="Arial"/>
                <w:sz w:val="20"/>
                <w:szCs w:val="20"/>
              </w:rPr>
              <w:t>Quality Manger, Quality Support Service</w:t>
            </w:r>
          </w:p>
        </w:tc>
        <w:tc>
          <w:tcPr>
            <w:tcW w:w="984" w:type="pct"/>
          </w:tcPr>
          <w:p w:rsidRPr="00194D68" w:rsidR="008F2463" w:rsidP="008F2463" w:rsidRDefault="00194D68" w14:paraId="06870469" w14:textId="678294C3">
            <w:pPr>
              <w:rPr>
                <w:rFonts w:cs="Arial"/>
                <w:sz w:val="20"/>
                <w:szCs w:val="20"/>
              </w:rPr>
            </w:pPr>
            <w:r w:rsidRPr="00194D68">
              <w:rPr>
                <w:rFonts w:cs="Arial"/>
                <w:sz w:val="20"/>
                <w:szCs w:val="20"/>
              </w:rPr>
              <w:t>NA</w:t>
            </w:r>
          </w:p>
        </w:tc>
        <w:tc>
          <w:tcPr>
            <w:tcW w:w="1640" w:type="pct"/>
          </w:tcPr>
          <w:p w:rsidRPr="00194D68" w:rsidR="008F2463" w:rsidP="008F2463" w:rsidRDefault="00194D68" w14:paraId="6838A029" w14:textId="2C26E191">
            <w:pPr>
              <w:rPr>
                <w:rFonts w:cs="Arial"/>
                <w:sz w:val="20"/>
                <w:szCs w:val="20"/>
              </w:rPr>
            </w:pPr>
            <w:r w:rsidRPr="00194D68">
              <w:rPr>
                <w:rFonts w:cs="Arial"/>
                <w:sz w:val="20"/>
                <w:szCs w:val="20"/>
              </w:rPr>
              <w:t>Housekeeping, June 2024, migrated to new UoH template</w:t>
            </w:r>
          </w:p>
        </w:tc>
      </w:tr>
      <w:tr w:rsidRPr="002E6BBA" w:rsidR="00194D68" w:rsidTr="005E53B3" w14:paraId="2B4E243D" w14:textId="5F65423F">
        <w:tc>
          <w:tcPr>
            <w:tcW w:w="572" w:type="pct"/>
          </w:tcPr>
          <w:p w:rsidRPr="00194D68" w:rsidR="00194D68" w:rsidP="00194D68" w:rsidRDefault="00194D68" w14:paraId="75C6C97E" w14:textId="364B78D8">
            <w:pPr>
              <w:rPr>
                <w:rFonts w:cs="Arial"/>
                <w:sz w:val="20"/>
                <w:szCs w:val="20"/>
              </w:rPr>
            </w:pPr>
            <w:r w:rsidRPr="00194D68">
              <w:rPr>
                <w:rFonts w:cs="Arial"/>
                <w:sz w:val="20"/>
                <w:szCs w:val="20"/>
              </w:rPr>
              <w:t>3 00</w:t>
            </w:r>
          </w:p>
        </w:tc>
        <w:tc>
          <w:tcPr>
            <w:tcW w:w="1804" w:type="pct"/>
          </w:tcPr>
          <w:p w:rsidRPr="00194D68" w:rsidR="00194D68" w:rsidP="00194D68" w:rsidRDefault="00194D68" w14:paraId="662CE0C1" w14:textId="0867C9DE">
            <w:pPr>
              <w:rPr>
                <w:rFonts w:cs="Arial"/>
                <w:sz w:val="20"/>
                <w:szCs w:val="20"/>
              </w:rPr>
            </w:pPr>
            <w:r w:rsidRPr="00194D68">
              <w:rPr>
                <w:rFonts w:cs="Arial"/>
                <w:sz w:val="20"/>
                <w:szCs w:val="20"/>
              </w:rPr>
              <w:t>University Working Group</w:t>
            </w:r>
          </w:p>
        </w:tc>
        <w:tc>
          <w:tcPr>
            <w:tcW w:w="984" w:type="pct"/>
          </w:tcPr>
          <w:p w:rsidRPr="00194D68" w:rsidR="00194D68" w:rsidP="00194D68" w:rsidRDefault="00194D68" w14:paraId="62B74139" w14:textId="10B8037F">
            <w:pPr>
              <w:rPr>
                <w:rFonts w:cs="Arial"/>
                <w:sz w:val="20"/>
                <w:szCs w:val="20"/>
              </w:rPr>
            </w:pPr>
            <w:r w:rsidRPr="00194D68">
              <w:rPr>
                <w:rFonts w:cs="Arial"/>
                <w:sz w:val="20"/>
                <w:szCs w:val="20"/>
              </w:rPr>
              <w:t xml:space="preserve">April 2024, Education Student Experience Committee </w:t>
            </w:r>
          </w:p>
        </w:tc>
        <w:tc>
          <w:tcPr>
            <w:tcW w:w="1640" w:type="pct"/>
          </w:tcPr>
          <w:p w:rsidRPr="00194D68" w:rsidR="00194D68" w:rsidP="00194D68" w:rsidRDefault="00194D68" w14:paraId="7E6ADB4D" w14:textId="77777777">
            <w:pPr>
              <w:rPr>
                <w:rFonts w:cs="Arial"/>
                <w:sz w:val="20"/>
                <w:szCs w:val="20"/>
              </w:rPr>
            </w:pPr>
            <w:r w:rsidRPr="00194D68">
              <w:rPr>
                <w:rFonts w:cs="Arial"/>
                <w:sz w:val="20"/>
                <w:szCs w:val="20"/>
              </w:rPr>
              <w:t>Revisions include:</w:t>
            </w:r>
          </w:p>
          <w:p w:rsidRPr="00194D68" w:rsidR="00194D68" w:rsidP="00194D68" w:rsidRDefault="00194D68" w14:paraId="646C13B4" w14:textId="77777777">
            <w:pPr>
              <w:pStyle w:val="ListParagraph"/>
              <w:numPr>
                <w:ilvl w:val="0"/>
                <w:numId w:val="31"/>
              </w:numPr>
              <w:rPr>
                <w:rFonts w:cs="Arial"/>
                <w:sz w:val="20"/>
                <w:szCs w:val="20"/>
              </w:rPr>
            </w:pPr>
            <w:r w:rsidRPr="00194D68">
              <w:rPr>
                <w:rFonts w:cs="Arial"/>
                <w:sz w:val="20"/>
                <w:szCs w:val="20"/>
              </w:rPr>
              <w:t>Updated reference to latest QAA guidance (1.1).</w:t>
            </w:r>
          </w:p>
          <w:p w:rsidRPr="00194D68" w:rsidR="00194D68" w:rsidP="00194D68" w:rsidRDefault="00194D68" w14:paraId="213CCE9D" w14:textId="77777777">
            <w:pPr>
              <w:pStyle w:val="ListParagraph"/>
              <w:numPr>
                <w:ilvl w:val="0"/>
                <w:numId w:val="31"/>
              </w:numPr>
              <w:rPr>
                <w:rFonts w:cs="Arial"/>
                <w:sz w:val="20"/>
                <w:szCs w:val="20"/>
              </w:rPr>
            </w:pPr>
            <w:r w:rsidRPr="00194D68">
              <w:rPr>
                <w:rFonts w:cs="Arial"/>
                <w:sz w:val="20"/>
                <w:szCs w:val="20"/>
              </w:rPr>
              <w:t xml:space="preserve">New 1.3 to confirm that ‘student’ includes apprentices, trainees and other learners.  </w:t>
            </w:r>
          </w:p>
          <w:p w:rsidRPr="00194D68" w:rsidR="00194D68" w:rsidP="00194D68" w:rsidRDefault="00194D68" w14:paraId="34CF17EE" w14:textId="77777777">
            <w:pPr>
              <w:pStyle w:val="ListParagraph"/>
              <w:numPr>
                <w:ilvl w:val="0"/>
                <w:numId w:val="31"/>
              </w:numPr>
              <w:rPr>
                <w:rFonts w:cs="Arial"/>
                <w:sz w:val="20"/>
                <w:szCs w:val="20"/>
              </w:rPr>
            </w:pPr>
            <w:r w:rsidRPr="00194D68">
              <w:rPr>
                <w:rFonts w:cs="Arial"/>
                <w:sz w:val="20"/>
                <w:szCs w:val="20"/>
              </w:rPr>
              <w:t>New 4.2 to highlight potential additional limitations where a programme is regulated.</w:t>
            </w:r>
          </w:p>
          <w:p w:rsidRPr="00194D68" w:rsidR="00194D68" w:rsidP="00194D68" w:rsidRDefault="00194D68" w14:paraId="07D5D676" w14:textId="77777777">
            <w:pPr>
              <w:pStyle w:val="ListParagraph"/>
              <w:numPr>
                <w:ilvl w:val="0"/>
                <w:numId w:val="31"/>
              </w:numPr>
              <w:rPr>
                <w:rFonts w:cs="Arial"/>
                <w:sz w:val="20"/>
                <w:szCs w:val="20"/>
              </w:rPr>
            </w:pPr>
            <w:r w:rsidRPr="00194D68">
              <w:rPr>
                <w:rFonts w:cs="Arial"/>
                <w:sz w:val="20"/>
                <w:szCs w:val="20"/>
              </w:rPr>
              <w:t>Changes to RPL maxima table.</w:t>
            </w:r>
          </w:p>
          <w:p w:rsidRPr="00194D68" w:rsidR="00194D68" w:rsidP="00194D68" w:rsidRDefault="00194D68" w14:paraId="31912DE8" w14:textId="77777777">
            <w:pPr>
              <w:pStyle w:val="ListParagraph"/>
              <w:numPr>
                <w:ilvl w:val="0"/>
                <w:numId w:val="31"/>
              </w:numPr>
              <w:rPr>
                <w:rFonts w:cs="Arial"/>
                <w:sz w:val="20"/>
                <w:szCs w:val="20"/>
              </w:rPr>
            </w:pPr>
            <w:r w:rsidRPr="00194D68">
              <w:rPr>
                <w:rFonts w:cs="Arial"/>
                <w:sz w:val="20"/>
                <w:szCs w:val="20"/>
              </w:rPr>
              <w:t>New 6.3 to further re-enforce the requirement for specialist input to decisions relating to applicants for regulated programmes.</w:t>
            </w:r>
          </w:p>
          <w:p w:rsidRPr="00194D68" w:rsidR="00194D68" w:rsidP="00194D68" w:rsidRDefault="00194D68" w14:paraId="55572FFF" w14:textId="77777777">
            <w:pPr>
              <w:pStyle w:val="ListParagraph"/>
              <w:numPr>
                <w:ilvl w:val="0"/>
                <w:numId w:val="31"/>
              </w:numPr>
              <w:rPr>
                <w:rFonts w:cs="Arial"/>
                <w:sz w:val="20"/>
                <w:szCs w:val="20"/>
              </w:rPr>
            </w:pPr>
            <w:r w:rsidRPr="00194D68">
              <w:rPr>
                <w:rFonts w:cs="Arial"/>
                <w:sz w:val="20"/>
                <w:szCs w:val="20"/>
              </w:rPr>
              <w:t>New 6.13 to note where an applicant wishes to challenge a decision relating to their RPL application they must do so using the Complaints Procedure for Student Admissions.</w:t>
            </w:r>
          </w:p>
          <w:p w:rsidRPr="00194D68" w:rsidR="00194D68" w:rsidP="00194D68" w:rsidRDefault="00194D68" w14:paraId="4AAB66AB" w14:textId="5353EA7A">
            <w:pPr>
              <w:pStyle w:val="ListParagraph"/>
              <w:numPr>
                <w:ilvl w:val="0"/>
                <w:numId w:val="31"/>
              </w:numPr>
              <w:rPr>
                <w:rFonts w:cs="Arial"/>
                <w:sz w:val="20"/>
                <w:szCs w:val="20"/>
              </w:rPr>
            </w:pPr>
            <w:r w:rsidRPr="00194D68">
              <w:rPr>
                <w:rFonts w:cs="Arial"/>
                <w:sz w:val="20"/>
                <w:szCs w:val="20"/>
              </w:rPr>
              <w:t>Introduces a section on Fraudulent applications (6.16-6.17).</w:t>
            </w:r>
          </w:p>
        </w:tc>
      </w:tr>
      <w:tr w:rsidRPr="002E6BBA" w:rsidR="00194D68" w:rsidTr="005E53B3" w14:paraId="720869D6" w14:textId="2C8E8AA9">
        <w:tc>
          <w:tcPr>
            <w:tcW w:w="572" w:type="pct"/>
          </w:tcPr>
          <w:p w:rsidRPr="00194D68" w:rsidR="00194D68" w:rsidP="00194D68" w:rsidRDefault="00194D68" w14:paraId="6FD10DA7" w14:textId="18EFC5DB">
            <w:pPr>
              <w:rPr>
                <w:rFonts w:cs="Arial"/>
                <w:sz w:val="20"/>
                <w:szCs w:val="20"/>
              </w:rPr>
            </w:pPr>
            <w:r w:rsidRPr="00194D68">
              <w:rPr>
                <w:rFonts w:cs="Arial"/>
                <w:sz w:val="20"/>
                <w:szCs w:val="20"/>
              </w:rPr>
              <w:t>2 13</w:t>
            </w:r>
          </w:p>
        </w:tc>
        <w:tc>
          <w:tcPr>
            <w:tcW w:w="1804" w:type="pct"/>
          </w:tcPr>
          <w:p w:rsidRPr="00194D68" w:rsidR="00194D68" w:rsidP="00194D68" w:rsidRDefault="00194D68" w14:paraId="4205A32C" w14:textId="418633EE">
            <w:pPr>
              <w:rPr>
                <w:rFonts w:cs="Arial"/>
                <w:sz w:val="20"/>
                <w:szCs w:val="20"/>
              </w:rPr>
            </w:pPr>
            <w:r w:rsidRPr="00194D68">
              <w:rPr>
                <w:rFonts w:cs="Arial"/>
                <w:sz w:val="20"/>
                <w:szCs w:val="20"/>
              </w:rPr>
              <w:t>Lisa Tees, Quality Manager, Quality Support Service</w:t>
            </w:r>
          </w:p>
        </w:tc>
        <w:tc>
          <w:tcPr>
            <w:tcW w:w="984" w:type="pct"/>
          </w:tcPr>
          <w:p w:rsidRPr="00194D68" w:rsidR="00194D68" w:rsidP="00194D68" w:rsidRDefault="00194D68" w14:paraId="6D51B137" w14:textId="54831557">
            <w:pPr>
              <w:rPr>
                <w:rFonts w:cs="Arial"/>
                <w:sz w:val="20"/>
                <w:szCs w:val="20"/>
              </w:rPr>
            </w:pPr>
            <w:r w:rsidRPr="00194D68">
              <w:rPr>
                <w:rFonts w:cs="Arial"/>
                <w:sz w:val="20"/>
                <w:szCs w:val="20"/>
              </w:rPr>
              <w:t>Sept 23</w:t>
            </w:r>
          </w:p>
        </w:tc>
        <w:tc>
          <w:tcPr>
            <w:tcW w:w="1640" w:type="pct"/>
          </w:tcPr>
          <w:p w:rsidRPr="00194D68" w:rsidR="00194D68" w:rsidP="00194D68" w:rsidRDefault="00194D68" w14:paraId="736A3561" w14:textId="43D68951">
            <w:pPr>
              <w:rPr>
                <w:rFonts w:cs="Arial"/>
                <w:sz w:val="20"/>
                <w:szCs w:val="20"/>
              </w:rPr>
            </w:pPr>
            <w:r w:rsidRPr="00194D68">
              <w:rPr>
                <w:rFonts w:cs="Arial"/>
                <w:sz w:val="20"/>
                <w:szCs w:val="20"/>
              </w:rPr>
              <w:t>Housekeeping – replaces Education Committee with the Education Student Experience Committee.</w:t>
            </w:r>
          </w:p>
        </w:tc>
      </w:tr>
      <w:tr w:rsidRPr="002E6BBA" w:rsidR="00194D68" w:rsidTr="005E53B3" w14:paraId="745A7F27" w14:textId="77777777">
        <w:tc>
          <w:tcPr>
            <w:tcW w:w="572" w:type="pct"/>
          </w:tcPr>
          <w:p w:rsidRPr="00194D68" w:rsidR="00194D68" w:rsidP="00194D68" w:rsidRDefault="00194D68" w14:paraId="1623FC13" w14:textId="185EB2AF">
            <w:pPr>
              <w:rPr>
                <w:rFonts w:cs="Arial"/>
                <w:sz w:val="20"/>
                <w:szCs w:val="20"/>
              </w:rPr>
            </w:pPr>
            <w:r w:rsidRPr="00194D68">
              <w:rPr>
                <w:rFonts w:cs="Arial"/>
                <w:sz w:val="20"/>
                <w:szCs w:val="20"/>
              </w:rPr>
              <w:t>2 12</w:t>
            </w:r>
          </w:p>
        </w:tc>
        <w:tc>
          <w:tcPr>
            <w:tcW w:w="1804" w:type="pct"/>
          </w:tcPr>
          <w:p w:rsidRPr="00194D68" w:rsidR="00194D68" w:rsidP="00194D68" w:rsidRDefault="00194D68" w14:paraId="7D8A24D0" w14:textId="03F99747">
            <w:pPr>
              <w:rPr>
                <w:rFonts w:cs="Arial"/>
                <w:sz w:val="20"/>
                <w:szCs w:val="20"/>
              </w:rPr>
            </w:pPr>
            <w:r w:rsidRPr="00194D68">
              <w:rPr>
                <w:rFonts w:cs="Arial"/>
                <w:sz w:val="20"/>
                <w:szCs w:val="20"/>
              </w:rPr>
              <w:t>Lisa Tees, Quality Manager, Quality Support Service</w:t>
            </w:r>
          </w:p>
        </w:tc>
        <w:tc>
          <w:tcPr>
            <w:tcW w:w="984" w:type="pct"/>
          </w:tcPr>
          <w:p w:rsidRPr="00194D68" w:rsidR="00194D68" w:rsidP="00194D68" w:rsidRDefault="00194D68" w14:paraId="37B33D71" w14:textId="192D3F02">
            <w:pPr>
              <w:rPr>
                <w:rFonts w:cs="Arial"/>
                <w:sz w:val="20"/>
                <w:szCs w:val="20"/>
              </w:rPr>
            </w:pPr>
            <w:r w:rsidRPr="00194D68">
              <w:rPr>
                <w:rFonts w:cs="Arial"/>
                <w:sz w:val="20"/>
                <w:szCs w:val="20"/>
              </w:rPr>
              <w:t>17 March 2022, Education Committee</w:t>
            </w:r>
          </w:p>
        </w:tc>
        <w:tc>
          <w:tcPr>
            <w:tcW w:w="1640" w:type="pct"/>
          </w:tcPr>
          <w:p w:rsidRPr="00194D68" w:rsidR="00194D68" w:rsidP="00194D68" w:rsidRDefault="00194D68" w14:paraId="7248F7E2" w14:textId="77D6FCC0">
            <w:pPr>
              <w:rPr>
                <w:rFonts w:cs="Arial"/>
                <w:sz w:val="20"/>
                <w:szCs w:val="20"/>
              </w:rPr>
            </w:pPr>
            <w:r w:rsidRPr="00194D68">
              <w:rPr>
                <w:rFonts w:cs="Arial"/>
                <w:sz w:val="20"/>
                <w:szCs w:val="20"/>
              </w:rPr>
              <w:t>Replaces APL with RPL – recognition of prior learning - to reflect sector norm.</w:t>
            </w:r>
          </w:p>
        </w:tc>
      </w:tr>
      <w:tr w:rsidRPr="002E6BBA" w:rsidR="00194D68" w:rsidTr="00194D68" w14:paraId="4A7D1F60" w14:textId="77777777">
        <w:tc>
          <w:tcPr>
            <w:tcW w:w="572" w:type="pct"/>
          </w:tcPr>
          <w:p w:rsidRPr="00194D68" w:rsidR="00194D68" w:rsidP="00194D68" w:rsidRDefault="00194D68" w14:paraId="3DF4C7F9" w14:textId="0DAB4777">
            <w:pPr>
              <w:rPr>
                <w:rFonts w:cs="Arial"/>
                <w:sz w:val="20"/>
                <w:szCs w:val="20"/>
              </w:rPr>
            </w:pPr>
            <w:r w:rsidRPr="00194D68">
              <w:rPr>
                <w:rFonts w:cs="Arial"/>
                <w:sz w:val="20"/>
                <w:szCs w:val="20"/>
              </w:rPr>
              <w:t>2 11</w:t>
            </w:r>
          </w:p>
        </w:tc>
        <w:tc>
          <w:tcPr>
            <w:tcW w:w="1804" w:type="pct"/>
          </w:tcPr>
          <w:p w:rsidRPr="00194D68" w:rsidR="00194D68" w:rsidP="00194D68" w:rsidRDefault="00194D68" w14:paraId="72A8639D" w14:textId="7EE1617D">
            <w:pPr>
              <w:rPr>
                <w:rFonts w:cs="Arial"/>
                <w:sz w:val="20"/>
                <w:szCs w:val="20"/>
              </w:rPr>
            </w:pPr>
            <w:r w:rsidRPr="00194D68">
              <w:rPr>
                <w:rFonts w:cs="Arial"/>
                <w:sz w:val="20"/>
                <w:szCs w:val="20"/>
              </w:rPr>
              <w:t>Lisa Tees, Quality Manager, Quality Support Service</w:t>
            </w:r>
          </w:p>
        </w:tc>
        <w:tc>
          <w:tcPr>
            <w:tcW w:w="984" w:type="pct"/>
          </w:tcPr>
          <w:p w:rsidRPr="00194D68" w:rsidR="00194D68" w:rsidP="00194D68" w:rsidRDefault="00194D68" w14:paraId="41026044" w14:textId="276600A2">
            <w:pPr>
              <w:rPr>
                <w:rFonts w:cs="Arial"/>
                <w:sz w:val="20"/>
                <w:szCs w:val="20"/>
              </w:rPr>
            </w:pPr>
            <w:r w:rsidRPr="00194D68">
              <w:rPr>
                <w:rFonts w:cs="Arial"/>
                <w:sz w:val="20"/>
                <w:szCs w:val="20"/>
              </w:rPr>
              <w:t>Housekeeping</w:t>
            </w:r>
          </w:p>
        </w:tc>
        <w:tc>
          <w:tcPr>
            <w:tcW w:w="1640" w:type="pct"/>
          </w:tcPr>
          <w:p w:rsidRPr="00194D68" w:rsidR="00194D68" w:rsidP="00194D68" w:rsidRDefault="00194D68" w14:paraId="39089339" w14:textId="77777777">
            <w:pPr>
              <w:pStyle w:val="ListParagraph"/>
              <w:numPr>
                <w:ilvl w:val="0"/>
                <w:numId w:val="32"/>
              </w:numPr>
              <w:rPr>
                <w:rFonts w:cs="Arial"/>
                <w:sz w:val="20"/>
                <w:szCs w:val="20"/>
              </w:rPr>
            </w:pPr>
            <w:r w:rsidRPr="00194D68">
              <w:rPr>
                <w:rFonts w:cs="Arial"/>
                <w:sz w:val="20"/>
                <w:szCs w:val="20"/>
              </w:rPr>
              <w:t>Section 3 - replaces Academic Partnership Office with Quality Support Service.</w:t>
            </w:r>
          </w:p>
          <w:p w:rsidRPr="00194D68" w:rsidR="00194D68" w:rsidP="00194D68" w:rsidRDefault="00194D68" w14:paraId="1333EFA4" w14:textId="6FD77DF8">
            <w:pPr>
              <w:pStyle w:val="ListParagraph"/>
              <w:numPr>
                <w:ilvl w:val="0"/>
                <w:numId w:val="32"/>
              </w:numPr>
              <w:rPr>
                <w:rFonts w:cs="Arial"/>
                <w:sz w:val="20"/>
                <w:szCs w:val="20"/>
              </w:rPr>
            </w:pPr>
            <w:r w:rsidRPr="00194D68">
              <w:rPr>
                <w:rFonts w:cs="Arial"/>
                <w:sz w:val="20"/>
                <w:szCs w:val="20"/>
              </w:rPr>
              <w:t xml:space="preserve">Section 10 – updates monitoring and review to include UoH Continual Monitoring, Evaluation and Enhancement (CMEE) Process. </w:t>
            </w:r>
          </w:p>
        </w:tc>
      </w:tr>
      <w:tr w:rsidRPr="002E6BBA" w:rsidR="00194D68" w:rsidTr="00194D68" w14:paraId="0A32CA32" w14:textId="77777777">
        <w:tc>
          <w:tcPr>
            <w:tcW w:w="572" w:type="pct"/>
          </w:tcPr>
          <w:p w:rsidRPr="00194D68" w:rsidR="00194D68" w:rsidP="00194D68" w:rsidRDefault="00194D68" w14:paraId="3D297393" w14:textId="483F1825">
            <w:pPr>
              <w:rPr>
                <w:rFonts w:cs="Arial"/>
                <w:sz w:val="20"/>
                <w:szCs w:val="20"/>
              </w:rPr>
            </w:pPr>
            <w:r w:rsidRPr="00194D68">
              <w:rPr>
                <w:rFonts w:cs="Arial"/>
                <w:sz w:val="20"/>
                <w:szCs w:val="20"/>
              </w:rPr>
              <w:lastRenderedPageBreak/>
              <w:t xml:space="preserve">2 10 </w:t>
            </w:r>
          </w:p>
        </w:tc>
        <w:tc>
          <w:tcPr>
            <w:tcW w:w="1804" w:type="pct"/>
          </w:tcPr>
          <w:p w:rsidRPr="00194D68" w:rsidR="00194D68" w:rsidP="00194D68" w:rsidRDefault="00194D68" w14:paraId="7A43B61A" w14:textId="378E16C3">
            <w:pPr>
              <w:rPr>
                <w:rFonts w:cs="Arial"/>
                <w:sz w:val="20"/>
                <w:szCs w:val="20"/>
              </w:rPr>
            </w:pPr>
            <w:r w:rsidRPr="00194D68">
              <w:rPr>
                <w:rFonts w:cs="Arial"/>
                <w:sz w:val="20"/>
                <w:szCs w:val="20"/>
              </w:rPr>
              <w:t>Lisa Tees, Quality Manager, Quality Governance</w:t>
            </w:r>
          </w:p>
        </w:tc>
        <w:tc>
          <w:tcPr>
            <w:tcW w:w="984" w:type="pct"/>
          </w:tcPr>
          <w:p w:rsidRPr="00194D68" w:rsidR="00194D68" w:rsidP="00194D68" w:rsidRDefault="00194D68" w14:paraId="12ADEC46" w14:textId="610C1014">
            <w:pPr>
              <w:rPr>
                <w:rFonts w:cs="Arial"/>
                <w:sz w:val="20"/>
                <w:szCs w:val="20"/>
              </w:rPr>
            </w:pPr>
            <w:r w:rsidRPr="00194D68">
              <w:rPr>
                <w:rFonts w:cs="Arial"/>
                <w:sz w:val="20"/>
                <w:szCs w:val="20"/>
              </w:rPr>
              <w:t>Aug 2019, Education Committee</w:t>
            </w:r>
          </w:p>
        </w:tc>
        <w:tc>
          <w:tcPr>
            <w:tcW w:w="1640" w:type="pct"/>
          </w:tcPr>
          <w:p w:rsidRPr="00194D68" w:rsidR="00194D68" w:rsidP="00194D68" w:rsidRDefault="00194D68" w14:paraId="26D1B5EB" w14:textId="77777777">
            <w:pPr>
              <w:pStyle w:val="ListParagraph"/>
              <w:numPr>
                <w:ilvl w:val="0"/>
                <w:numId w:val="33"/>
              </w:numPr>
              <w:rPr>
                <w:rFonts w:cs="Arial"/>
                <w:bCs/>
                <w:sz w:val="20"/>
                <w:szCs w:val="20"/>
              </w:rPr>
            </w:pPr>
            <w:r w:rsidRPr="00194D68">
              <w:rPr>
                <w:rFonts w:cs="Arial"/>
                <w:bCs/>
                <w:sz w:val="20"/>
                <w:szCs w:val="20"/>
              </w:rPr>
              <w:t>Makes clear that opportunities for APL may be limited where there are PSRB requirements attached to a programme (Reg. 13 APL maxima).</w:t>
            </w:r>
          </w:p>
          <w:p w:rsidRPr="00194D68" w:rsidR="00194D68" w:rsidP="00194D68" w:rsidRDefault="00194D68" w14:paraId="64E55FE7" w14:textId="77777777">
            <w:pPr>
              <w:pStyle w:val="ListParagraph"/>
              <w:numPr>
                <w:ilvl w:val="0"/>
                <w:numId w:val="33"/>
              </w:numPr>
              <w:rPr>
                <w:rFonts w:cs="Arial"/>
                <w:sz w:val="20"/>
                <w:szCs w:val="20"/>
              </w:rPr>
            </w:pPr>
            <w:r w:rsidRPr="00194D68">
              <w:rPr>
                <w:bCs/>
                <w:sz w:val="20"/>
                <w:szCs w:val="20"/>
              </w:rPr>
              <w:t>Replaces</w:t>
            </w:r>
            <w:r w:rsidRPr="00194D68">
              <w:rPr>
                <w:rFonts w:cs="Arial"/>
                <w:sz w:val="20"/>
                <w:szCs w:val="20"/>
              </w:rPr>
              <w:t xml:space="preserve"> Learning and Teaching Enhancement (LTE) with Quality Governance.</w:t>
            </w:r>
          </w:p>
          <w:p w:rsidRPr="00194D68" w:rsidR="00194D68" w:rsidP="00194D68" w:rsidRDefault="00194D68" w14:paraId="354DF167" w14:textId="6FE5FB44">
            <w:pPr>
              <w:pStyle w:val="ListParagraph"/>
              <w:numPr>
                <w:ilvl w:val="0"/>
                <w:numId w:val="33"/>
              </w:numPr>
              <w:rPr>
                <w:rFonts w:cs="Arial"/>
                <w:sz w:val="20"/>
                <w:szCs w:val="20"/>
              </w:rPr>
            </w:pPr>
            <w:r w:rsidRPr="00194D68">
              <w:rPr>
                <w:bCs/>
                <w:sz w:val="20"/>
                <w:szCs w:val="20"/>
              </w:rPr>
              <w:t>Replaces School with Academic Unit.</w:t>
            </w:r>
          </w:p>
        </w:tc>
      </w:tr>
      <w:tr w:rsidRPr="002E6BBA" w:rsidR="00194D68" w:rsidTr="00194D68" w14:paraId="7E50B42A" w14:textId="77777777">
        <w:tc>
          <w:tcPr>
            <w:tcW w:w="572" w:type="pct"/>
          </w:tcPr>
          <w:p w:rsidRPr="00194D68" w:rsidR="00194D68" w:rsidP="00194D68" w:rsidRDefault="00194D68" w14:paraId="5983A878" w14:textId="0E5C0F81">
            <w:pPr>
              <w:rPr>
                <w:rFonts w:cs="Arial"/>
                <w:sz w:val="20"/>
                <w:szCs w:val="20"/>
              </w:rPr>
            </w:pPr>
            <w:r w:rsidRPr="00194D68">
              <w:rPr>
                <w:rFonts w:cs="Arial"/>
                <w:sz w:val="20"/>
                <w:szCs w:val="20"/>
              </w:rPr>
              <w:t>2 09</w:t>
            </w:r>
          </w:p>
        </w:tc>
        <w:tc>
          <w:tcPr>
            <w:tcW w:w="1804" w:type="pct"/>
          </w:tcPr>
          <w:p w:rsidRPr="00194D68" w:rsidR="00194D68" w:rsidP="00194D68" w:rsidRDefault="00194D68" w14:paraId="2AE2E84D" w14:textId="7CCB7411">
            <w:pPr>
              <w:rPr>
                <w:rFonts w:cs="Arial"/>
                <w:sz w:val="20"/>
                <w:szCs w:val="20"/>
              </w:rPr>
            </w:pPr>
            <w:r w:rsidRPr="00194D68">
              <w:rPr>
                <w:rFonts w:cs="Arial"/>
                <w:sz w:val="20"/>
                <w:szCs w:val="20"/>
              </w:rPr>
              <w:t>Lisa Tees, Quality Manager, Learning and Teaching Enhancement</w:t>
            </w:r>
          </w:p>
        </w:tc>
        <w:tc>
          <w:tcPr>
            <w:tcW w:w="984" w:type="pct"/>
          </w:tcPr>
          <w:p w:rsidRPr="00194D68" w:rsidR="00194D68" w:rsidP="00194D68" w:rsidRDefault="00194D68" w14:paraId="5DF68A3E" w14:textId="2430B6D3">
            <w:pPr>
              <w:rPr>
                <w:rFonts w:cs="Arial"/>
                <w:sz w:val="20"/>
                <w:szCs w:val="20"/>
              </w:rPr>
            </w:pPr>
            <w:r w:rsidRPr="00194D68">
              <w:rPr>
                <w:rFonts w:cs="Arial"/>
                <w:sz w:val="20"/>
                <w:szCs w:val="20"/>
              </w:rPr>
              <w:t>April 2018, Housekeeping</w:t>
            </w:r>
          </w:p>
        </w:tc>
        <w:tc>
          <w:tcPr>
            <w:tcW w:w="1640" w:type="pct"/>
          </w:tcPr>
          <w:p w:rsidRPr="00194D68" w:rsidR="00194D68" w:rsidP="00194D68" w:rsidRDefault="00194D68" w14:paraId="5622562C" w14:textId="7BE27FDC">
            <w:pPr>
              <w:rPr>
                <w:rFonts w:cs="Arial"/>
                <w:sz w:val="20"/>
                <w:szCs w:val="20"/>
              </w:rPr>
            </w:pPr>
            <w:r w:rsidRPr="00194D68">
              <w:rPr>
                <w:bCs/>
                <w:sz w:val="20"/>
                <w:szCs w:val="20"/>
              </w:rPr>
              <w:t>Replaces</w:t>
            </w:r>
            <w:r w:rsidRPr="00194D68">
              <w:rPr>
                <w:rFonts w:cs="Arial"/>
                <w:sz w:val="20"/>
                <w:szCs w:val="20"/>
              </w:rPr>
              <w:t xml:space="preserve"> Learning Enhancement and Academic Practice (LEAP) with Learning and Teaching Enhancement (LTE).</w:t>
            </w:r>
          </w:p>
        </w:tc>
      </w:tr>
      <w:tr w:rsidRPr="002E6BBA" w:rsidR="00194D68" w:rsidTr="00194D68" w14:paraId="790941CE" w14:textId="77777777">
        <w:tc>
          <w:tcPr>
            <w:tcW w:w="572" w:type="pct"/>
          </w:tcPr>
          <w:p w:rsidRPr="00194D68" w:rsidR="00194D68" w:rsidP="00194D68" w:rsidRDefault="00194D68" w14:paraId="791CBBD2" w14:textId="3B501881">
            <w:pPr>
              <w:rPr>
                <w:rFonts w:cs="Arial"/>
                <w:sz w:val="20"/>
                <w:szCs w:val="20"/>
              </w:rPr>
            </w:pPr>
            <w:r w:rsidRPr="00194D68">
              <w:rPr>
                <w:rFonts w:cs="Arial"/>
                <w:sz w:val="20"/>
                <w:szCs w:val="20"/>
              </w:rPr>
              <w:t>2 08</w:t>
            </w:r>
          </w:p>
        </w:tc>
        <w:tc>
          <w:tcPr>
            <w:tcW w:w="1804" w:type="pct"/>
          </w:tcPr>
          <w:p w:rsidRPr="00194D68" w:rsidR="00194D68" w:rsidP="00194D68" w:rsidRDefault="00194D68" w14:paraId="5E5E5E33" w14:textId="0AC8D0D4">
            <w:pPr>
              <w:rPr>
                <w:rFonts w:cs="Arial"/>
                <w:sz w:val="20"/>
                <w:szCs w:val="20"/>
              </w:rPr>
            </w:pPr>
            <w:r w:rsidRPr="00194D68">
              <w:rPr>
                <w:rFonts w:cs="Arial"/>
                <w:sz w:val="20"/>
                <w:szCs w:val="20"/>
              </w:rPr>
              <w:t>Lisa Tees, Quality Manager, Learning Enhancement and Academic Practice</w:t>
            </w:r>
          </w:p>
        </w:tc>
        <w:tc>
          <w:tcPr>
            <w:tcW w:w="984" w:type="pct"/>
          </w:tcPr>
          <w:p w:rsidRPr="00194D68" w:rsidR="00194D68" w:rsidP="00194D68" w:rsidRDefault="00194D68" w14:paraId="6550AE8E" w14:textId="54FFFED3">
            <w:pPr>
              <w:rPr>
                <w:rFonts w:cs="Arial"/>
                <w:sz w:val="20"/>
                <w:szCs w:val="20"/>
              </w:rPr>
            </w:pPr>
            <w:r w:rsidRPr="00194D68">
              <w:rPr>
                <w:rFonts w:cs="Arial"/>
                <w:sz w:val="20"/>
                <w:szCs w:val="20"/>
              </w:rPr>
              <w:t>April 2016, Housekeeping</w:t>
            </w:r>
          </w:p>
        </w:tc>
        <w:tc>
          <w:tcPr>
            <w:tcW w:w="1640" w:type="pct"/>
          </w:tcPr>
          <w:p w:rsidRPr="00194D68" w:rsidR="00194D68" w:rsidP="00194D68" w:rsidRDefault="00194D68" w14:paraId="048FFD54" w14:textId="77777777">
            <w:pPr>
              <w:pStyle w:val="ListParagraph"/>
              <w:numPr>
                <w:ilvl w:val="0"/>
                <w:numId w:val="34"/>
              </w:numPr>
              <w:rPr>
                <w:rFonts w:cs="Arial"/>
                <w:b/>
                <w:sz w:val="20"/>
                <w:szCs w:val="20"/>
              </w:rPr>
            </w:pPr>
            <w:r w:rsidRPr="00194D68">
              <w:rPr>
                <w:rFonts w:cs="Arial"/>
                <w:sz w:val="20"/>
                <w:szCs w:val="20"/>
              </w:rPr>
              <w:t>Updates the APL maxima table (para. 13) to include the Professional Doctorate.</w:t>
            </w:r>
          </w:p>
          <w:p w:rsidRPr="00194D68" w:rsidR="00194D68" w:rsidP="00194D68" w:rsidRDefault="00194D68" w14:paraId="63456A3B" w14:textId="1F6BC5CD">
            <w:pPr>
              <w:pStyle w:val="ListParagraph"/>
              <w:numPr>
                <w:ilvl w:val="0"/>
                <w:numId w:val="34"/>
              </w:numPr>
              <w:rPr>
                <w:rFonts w:cs="Arial"/>
                <w:b/>
                <w:sz w:val="20"/>
                <w:szCs w:val="20"/>
              </w:rPr>
            </w:pPr>
            <w:r w:rsidRPr="00194D68">
              <w:rPr>
                <w:rFonts w:cs="Arial"/>
                <w:sz w:val="20"/>
                <w:szCs w:val="20"/>
              </w:rPr>
              <w:t>Replaces Head of Department and departments with Head of School and schools.</w:t>
            </w:r>
          </w:p>
        </w:tc>
      </w:tr>
      <w:tr w:rsidRPr="002E6BBA" w:rsidR="00194D68" w:rsidTr="00194D68" w14:paraId="1AC20CAD" w14:textId="77777777">
        <w:tc>
          <w:tcPr>
            <w:tcW w:w="572" w:type="pct"/>
          </w:tcPr>
          <w:p w:rsidRPr="00194D68" w:rsidR="00194D68" w:rsidP="00194D68" w:rsidRDefault="00194D68" w14:paraId="3032D49A" w14:textId="737A6F24">
            <w:pPr>
              <w:rPr>
                <w:rFonts w:cs="Arial"/>
                <w:sz w:val="20"/>
                <w:szCs w:val="20"/>
              </w:rPr>
            </w:pPr>
            <w:r w:rsidRPr="00194D68">
              <w:rPr>
                <w:rFonts w:cs="Arial"/>
                <w:sz w:val="20"/>
                <w:szCs w:val="20"/>
              </w:rPr>
              <w:t>2 07</w:t>
            </w:r>
          </w:p>
        </w:tc>
        <w:tc>
          <w:tcPr>
            <w:tcW w:w="1804" w:type="pct"/>
          </w:tcPr>
          <w:p w:rsidRPr="00194D68" w:rsidR="00194D68" w:rsidP="00194D68" w:rsidRDefault="00194D68" w14:paraId="2912E01A" w14:textId="3B06A10E">
            <w:pPr>
              <w:rPr>
                <w:rFonts w:cs="Arial"/>
                <w:sz w:val="20"/>
                <w:szCs w:val="20"/>
              </w:rPr>
            </w:pPr>
            <w:r w:rsidRPr="00194D68">
              <w:rPr>
                <w:rFonts w:cs="Arial"/>
                <w:sz w:val="20"/>
                <w:szCs w:val="20"/>
              </w:rPr>
              <w:t>Jane Iddon, Quality Manager, Learning Enhancement and Academic Practice</w:t>
            </w:r>
          </w:p>
        </w:tc>
        <w:tc>
          <w:tcPr>
            <w:tcW w:w="984" w:type="pct"/>
          </w:tcPr>
          <w:p w:rsidRPr="00194D68" w:rsidR="00194D68" w:rsidP="00194D68" w:rsidRDefault="00194D68" w14:paraId="542C1C36" w14:textId="085D5BFF">
            <w:pPr>
              <w:rPr>
                <w:rFonts w:cs="Arial"/>
                <w:sz w:val="20"/>
                <w:szCs w:val="20"/>
              </w:rPr>
            </w:pPr>
            <w:r w:rsidRPr="00194D68">
              <w:rPr>
                <w:rFonts w:cs="Arial"/>
                <w:sz w:val="20"/>
                <w:szCs w:val="20"/>
              </w:rPr>
              <w:t>Aug 2015, Housekeeping</w:t>
            </w:r>
          </w:p>
        </w:tc>
        <w:tc>
          <w:tcPr>
            <w:tcW w:w="1640" w:type="pct"/>
          </w:tcPr>
          <w:p w:rsidRPr="00194D68" w:rsidR="00194D68" w:rsidP="00194D68" w:rsidRDefault="00194D68" w14:paraId="3B432A7F" w14:textId="009F0B2D">
            <w:pPr>
              <w:rPr>
                <w:rFonts w:cs="Arial"/>
                <w:sz w:val="20"/>
                <w:szCs w:val="20"/>
              </w:rPr>
            </w:pPr>
            <w:r w:rsidRPr="00194D68">
              <w:rPr>
                <w:rFonts w:cs="Arial"/>
                <w:sz w:val="20"/>
                <w:szCs w:val="20"/>
              </w:rPr>
              <w:t>Updated to reflect change to LEAP and references to UK Quality Code.</w:t>
            </w:r>
          </w:p>
        </w:tc>
      </w:tr>
      <w:tr w:rsidRPr="002E6BBA" w:rsidR="00194D68" w:rsidTr="00194D68" w14:paraId="2F36736B" w14:textId="77777777">
        <w:tc>
          <w:tcPr>
            <w:tcW w:w="572" w:type="pct"/>
          </w:tcPr>
          <w:p w:rsidRPr="00194D68" w:rsidR="00194D68" w:rsidP="00194D68" w:rsidRDefault="00194D68" w14:paraId="216D07B7" w14:textId="707C6009">
            <w:pPr>
              <w:rPr>
                <w:rFonts w:cs="Arial"/>
                <w:sz w:val="20"/>
                <w:szCs w:val="20"/>
              </w:rPr>
            </w:pPr>
            <w:r w:rsidRPr="00194D68">
              <w:rPr>
                <w:rFonts w:cs="Arial"/>
                <w:sz w:val="20"/>
                <w:szCs w:val="20"/>
              </w:rPr>
              <w:t>2 06</w:t>
            </w:r>
          </w:p>
        </w:tc>
        <w:tc>
          <w:tcPr>
            <w:tcW w:w="1804" w:type="pct"/>
          </w:tcPr>
          <w:p w:rsidRPr="00194D68" w:rsidR="00194D68" w:rsidP="00194D68" w:rsidRDefault="00194D68" w14:paraId="6ECDBA2A" w14:textId="6E7D3D4B">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656BD06C" w14:textId="55A54D92">
            <w:pPr>
              <w:rPr>
                <w:rFonts w:cs="Arial"/>
                <w:sz w:val="20"/>
                <w:szCs w:val="20"/>
              </w:rPr>
            </w:pPr>
            <w:r w:rsidRPr="00194D68">
              <w:rPr>
                <w:rFonts w:cs="Arial"/>
                <w:sz w:val="20"/>
                <w:szCs w:val="20"/>
              </w:rPr>
              <w:t xml:space="preserve">Sept 2012, </w:t>
            </w:r>
          </w:p>
        </w:tc>
        <w:tc>
          <w:tcPr>
            <w:tcW w:w="1640" w:type="pct"/>
          </w:tcPr>
          <w:p w:rsidRPr="00194D68" w:rsidR="00194D68" w:rsidP="00194D68" w:rsidRDefault="00194D68" w14:paraId="419DC676" w14:textId="77777777">
            <w:pPr>
              <w:pStyle w:val="ListParagraph"/>
              <w:numPr>
                <w:ilvl w:val="0"/>
                <w:numId w:val="35"/>
              </w:numPr>
              <w:rPr>
                <w:rFonts w:cs="Arial"/>
                <w:sz w:val="20"/>
                <w:szCs w:val="20"/>
              </w:rPr>
            </w:pPr>
            <w:r w:rsidRPr="00194D68">
              <w:rPr>
                <w:rFonts w:cs="Arial"/>
                <w:sz w:val="20"/>
                <w:szCs w:val="20"/>
              </w:rPr>
              <w:t>Mandatory requirement that there is one locus of decision-making for APL claims in instances where the same programme is delivered by multiple partners (para. 6).</w:t>
            </w:r>
          </w:p>
          <w:p w:rsidRPr="00194D68" w:rsidR="00194D68" w:rsidP="00194D68" w:rsidRDefault="00194D68" w14:paraId="5CD37056" w14:textId="77777777">
            <w:pPr>
              <w:pStyle w:val="ListParagraph"/>
              <w:numPr>
                <w:ilvl w:val="0"/>
                <w:numId w:val="35"/>
              </w:numPr>
              <w:rPr>
                <w:rFonts w:cs="Arial"/>
                <w:sz w:val="20"/>
                <w:szCs w:val="20"/>
              </w:rPr>
            </w:pPr>
            <w:r w:rsidRPr="00194D68">
              <w:rPr>
                <w:rFonts w:cs="Arial"/>
                <w:sz w:val="20"/>
                <w:szCs w:val="20"/>
              </w:rPr>
              <w:t>Updates para.14 to include taught masters degrees and research masters degrees.</w:t>
            </w:r>
          </w:p>
          <w:p w:rsidRPr="00194D68" w:rsidR="00194D68" w:rsidP="00194D68" w:rsidRDefault="00194D68" w14:paraId="36897A6B" w14:textId="77777777">
            <w:pPr>
              <w:pStyle w:val="ListParagraph"/>
              <w:numPr>
                <w:ilvl w:val="0"/>
                <w:numId w:val="35"/>
              </w:numPr>
              <w:rPr>
                <w:rFonts w:cs="Arial"/>
                <w:sz w:val="20"/>
                <w:szCs w:val="20"/>
              </w:rPr>
            </w:pPr>
            <w:r w:rsidRPr="00194D68">
              <w:rPr>
                <w:rFonts w:cs="Arial"/>
                <w:sz w:val="20"/>
                <w:szCs w:val="20"/>
              </w:rPr>
              <w:t>Explanatory note added to clarify that APL must not be a substitute for, or undermine, the decisions of Boards of Examiners (para. 15).</w:t>
            </w:r>
          </w:p>
          <w:p w:rsidRPr="00194D68" w:rsidR="00194D68" w:rsidP="00194D68" w:rsidRDefault="00194D68" w14:paraId="532A3948" w14:textId="77777777">
            <w:pPr>
              <w:pStyle w:val="ListParagraph"/>
              <w:numPr>
                <w:ilvl w:val="0"/>
                <w:numId w:val="35"/>
              </w:numPr>
              <w:rPr>
                <w:rFonts w:cs="Arial"/>
                <w:sz w:val="20"/>
                <w:szCs w:val="20"/>
              </w:rPr>
            </w:pPr>
            <w:r w:rsidRPr="00194D68">
              <w:rPr>
                <w:rFonts w:cs="Arial"/>
                <w:sz w:val="20"/>
                <w:szCs w:val="20"/>
              </w:rPr>
              <w:t>Makes clear that APL can only be granted for modules for which credits have been awarded (para. 16).</w:t>
            </w:r>
          </w:p>
          <w:p w:rsidRPr="00194D68" w:rsidR="00194D68" w:rsidP="00194D68" w:rsidRDefault="00194D68" w14:paraId="15E453E7" w14:textId="77777777">
            <w:pPr>
              <w:pStyle w:val="ListParagraph"/>
              <w:numPr>
                <w:ilvl w:val="0"/>
                <w:numId w:val="35"/>
              </w:numPr>
              <w:rPr>
                <w:rFonts w:cs="Arial"/>
                <w:sz w:val="20"/>
                <w:szCs w:val="20"/>
              </w:rPr>
            </w:pPr>
            <w:r w:rsidRPr="00194D68">
              <w:rPr>
                <w:rFonts w:cs="Arial"/>
                <w:sz w:val="20"/>
                <w:szCs w:val="20"/>
              </w:rPr>
              <w:t xml:space="preserve">Explanatory note added to make clear that additional information may be added to annexe 1 and that the Faculty of Health and </w:t>
            </w:r>
            <w:r w:rsidRPr="00194D68">
              <w:rPr>
                <w:rFonts w:cs="Arial"/>
                <w:sz w:val="20"/>
                <w:szCs w:val="20"/>
              </w:rPr>
              <w:lastRenderedPageBreak/>
              <w:t>Social Care is permitted to use its own version of annexe 1 (para. 26).</w:t>
            </w:r>
          </w:p>
          <w:p w:rsidRPr="00194D68" w:rsidR="00194D68" w:rsidP="00194D68" w:rsidRDefault="00194D68" w14:paraId="0D4F179B" w14:textId="77777777">
            <w:pPr>
              <w:pStyle w:val="ListParagraph"/>
              <w:numPr>
                <w:ilvl w:val="0"/>
                <w:numId w:val="35"/>
              </w:numPr>
              <w:rPr>
                <w:rFonts w:cs="Arial"/>
                <w:sz w:val="20"/>
                <w:szCs w:val="20"/>
              </w:rPr>
            </w:pPr>
            <w:r w:rsidRPr="00194D68">
              <w:rPr>
                <w:rFonts w:cs="Arial"/>
                <w:sz w:val="20"/>
                <w:szCs w:val="20"/>
              </w:rPr>
              <w:t>Explanatory note added to make clear that professional body requirements may override the University’s ‘currency’ upper threshold (para. 32).</w:t>
            </w:r>
          </w:p>
          <w:p w:rsidRPr="00194D68" w:rsidR="00194D68" w:rsidP="00194D68" w:rsidRDefault="00194D68" w14:paraId="7427A01D" w14:textId="73513444">
            <w:pPr>
              <w:pStyle w:val="ListParagraph"/>
              <w:numPr>
                <w:ilvl w:val="0"/>
                <w:numId w:val="35"/>
              </w:numPr>
              <w:rPr>
                <w:rFonts w:cs="Arial"/>
                <w:sz w:val="20"/>
                <w:szCs w:val="20"/>
              </w:rPr>
            </w:pPr>
            <w:r w:rsidRPr="00194D68">
              <w:rPr>
                <w:rFonts w:cs="Arial"/>
                <w:sz w:val="20"/>
                <w:szCs w:val="20"/>
              </w:rPr>
              <w:t>Makes clear that partners provide an overview of APL procedures in the Partner Quality Enhancement Report (para. 39).</w:t>
            </w:r>
          </w:p>
        </w:tc>
      </w:tr>
      <w:tr w:rsidRPr="002E6BBA" w:rsidR="00194D68" w:rsidTr="00194D68" w14:paraId="0C8DF9A0" w14:textId="77777777">
        <w:tc>
          <w:tcPr>
            <w:tcW w:w="572" w:type="pct"/>
          </w:tcPr>
          <w:p w:rsidRPr="00194D68" w:rsidR="00194D68" w:rsidP="00194D68" w:rsidRDefault="00194D68" w14:paraId="56F6A583" w14:textId="66002133">
            <w:pPr>
              <w:rPr>
                <w:rFonts w:cs="Arial"/>
                <w:sz w:val="20"/>
                <w:szCs w:val="20"/>
              </w:rPr>
            </w:pPr>
            <w:r w:rsidRPr="00194D68">
              <w:rPr>
                <w:rFonts w:cs="Arial"/>
                <w:sz w:val="20"/>
                <w:szCs w:val="20"/>
              </w:rPr>
              <w:lastRenderedPageBreak/>
              <w:t>2 05</w:t>
            </w:r>
          </w:p>
        </w:tc>
        <w:tc>
          <w:tcPr>
            <w:tcW w:w="1804" w:type="pct"/>
          </w:tcPr>
          <w:p w:rsidRPr="00194D68" w:rsidR="00194D68" w:rsidP="00194D68" w:rsidRDefault="00194D68" w14:paraId="4F388408" w14:textId="2E06881B">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462E00E5" w14:textId="4BA040D6">
            <w:pPr>
              <w:rPr>
                <w:rFonts w:cs="Arial"/>
                <w:sz w:val="20"/>
                <w:szCs w:val="20"/>
              </w:rPr>
            </w:pPr>
            <w:r w:rsidRPr="00194D68">
              <w:rPr>
                <w:rFonts w:cs="Arial"/>
                <w:sz w:val="20"/>
                <w:szCs w:val="20"/>
              </w:rPr>
              <w:t xml:space="preserve">Feb 2011, Housekeeping </w:t>
            </w:r>
          </w:p>
        </w:tc>
        <w:tc>
          <w:tcPr>
            <w:tcW w:w="1640" w:type="pct"/>
          </w:tcPr>
          <w:p w:rsidRPr="00194D68" w:rsidR="00194D68" w:rsidP="00194D68" w:rsidRDefault="00194D68" w14:paraId="6DE530CC" w14:textId="5DE42117">
            <w:pPr>
              <w:rPr>
                <w:rFonts w:cs="Arial"/>
                <w:sz w:val="20"/>
                <w:szCs w:val="20"/>
              </w:rPr>
            </w:pPr>
            <w:r w:rsidRPr="00194D68">
              <w:rPr>
                <w:rFonts w:cs="Arial"/>
                <w:sz w:val="20"/>
                <w:szCs w:val="20"/>
              </w:rPr>
              <w:t>Updates the code with reference to the new committee structure.</w:t>
            </w:r>
          </w:p>
        </w:tc>
      </w:tr>
      <w:tr w:rsidRPr="002E6BBA" w:rsidR="00194D68" w:rsidTr="00194D68" w14:paraId="61315F4A" w14:textId="77777777">
        <w:tc>
          <w:tcPr>
            <w:tcW w:w="572" w:type="pct"/>
          </w:tcPr>
          <w:p w:rsidRPr="00194D68" w:rsidR="00194D68" w:rsidP="00194D68" w:rsidRDefault="00194D68" w14:paraId="3DAE17D0" w14:textId="13D656E9">
            <w:pPr>
              <w:rPr>
                <w:rFonts w:cs="Arial"/>
                <w:sz w:val="20"/>
                <w:szCs w:val="20"/>
              </w:rPr>
            </w:pPr>
            <w:r w:rsidRPr="00194D68">
              <w:rPr>
                <w:rFonts w:cs="Arial"/>
                <w:sz w:val="20"/>
                <w:szCs w:val="20"/>
              </w:rPr>
              <w:t>2 04</w:t>
            </w:r>
          </w:p>
        </w:tc>
        <w:tc>
          <w:tcPr>
            <w:tcW w:w="1804" w:type="pct"/>
          </w:tcPr>
          <w:p w:rsidRPr="00194D68" w:rsidR="00194D68" w:rsidP="00194D68" w:rsidRDefault="00194D68" w14:paraId="5AD4523D" w14:textId="20D0DD2C">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1E63D989" w14:textId="07C1A120">
            <w:pPr>
              <w:rPr>
                <w:rFonts w:cs="Arial"/>
                <w:sz w:val="20"/>
                <w:szCs w:val="20"/>
              </w:rPr>
            </w:pPr>
            <w:r w:rsidRPr="00194D68">
              <w:rPr>
                <w:rFonts w:cs="Arial"/>
                <w:sz w:val="20"/>
                <w:szCs w:val="20"/>
              </w:rPr>
              <w:t xml:space="preserve">Oct 2010, Housekeeping </w:t>
            </w:r>
          </w:p>
        </w:tc>
        <w:tc>
          <w:tcPr>
            <w:tcW w:w="1640" w:type="pct"/>
          </w:tcPr>
          <w:p w:rsidRPr="00194D68" w:rsidR="00194D68" w:rsidP="00194D68" w:rsidRDefault="00194D68" w14:paraId="779D1B68" w14:textId="2A4F0EAF">
            <w:pPr>
              <w:rPr>
                <w:rFonts w:cs="Arial"/>
                <w:sz w:val="20"/>
                <w:szCs w:val="20"/>
              </w:rPr>
            </w:pPr>
            <w:r w:rsidRPr="00194D68">
              <w:rPr>
                <w:rFonts w:cs="Arial"/>
                <w:sz w:val="20"/>
                <w:szCs w:val="20"/>
              </w:rPr>
              <w:t>Updated to reflect change to ULTAC from QSC.</w:t>
            </w:r>
          </w:p>
        </w:tc>
      </w:tr>
      <w:tr w:rsidRPr="002E6BBA" w:rsidR="00194D68" w:rsidTr="00194D68" w14:paraId="45CC7CC8" w14:textId="77777777">
        <w:tc>
          <w:tcPr>
            <w:tcW w:w="572" w:type="pct"/>
          </w:tcPr>
          <w:p w:rsidRPr="00194D68" w:rsidR="00194D68" w:rsidP="00194D68" w:rsidRDefault="00194D68" w14:paraId="3E21731F" w14:textId="35F3230C">
            <w:pPr>
              <w:rPr>
                <w:rFonts w:cs="Arial"/>
                <w:sz w:val="20"/>
                <w:szCs w:val="20"/>
              </w:rPr>
            </w:pPr>
            <w:r w:rsidRPr="00194D68">
              <w:rPr>
                <w:rFonts w:cs="Arial"/>
                <w:sz w:val="20"/>
                <w:szCs w:val="20"/>
              </w:rPr>
              <w:t xml:space="preserve">2 03 </w:t>
            </w:r>
          </w:p>
        </w:tc>
        <w:tc>
          <w:tcPr>
            <w:tcW w:w="1804" w:type="pct"/>
          </w:tcPr>
          <w:p w:rsidRPr="00194D68" w:rsidR="00194D68" w:rsidP="00194D68" w:rsidRDefault="00194D68" w14:paraId="244A52EA" w14:textId="4B94442C">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525BAF00" w14:textId="12082A66">
            <w:pPr>
              <w:rPr>
                <w:rFonts w:cs="Arial"/>
                <w:sz w:val="20"/>
                <w:szCs w:val="20"/>
              </w:rPr>
            </w:pPr>
            <w:r w:rsidRPr="00194D68">
              <w:rPr>
                <w:rFonts w:cs="Arial"/>
                <w:sz w:val="20"/>
                <w:szCs w:val="20"/>
              </w:rPr>
              <w:t>Oct 2007, Academic Board</w:t>
            </w:r>
          </w:p>
        </w:tc>
        <w:tc>
          <w:tcPr>
            <w:tcW w:w="1640" w:type="pct"/>
          </w:tcPr>
          <w:p w:rsidRPr="00194D68" w:rsidR="00194D68" w:rsidP="00194D68" w:rsidRDefault="00194D68" w14:paraId="5853FA0E" w14:textId="77777777">
            <w:pPr>
              <w:pStyle w:val="ListParagraph"/>
              <w:numPr>
                <w:ilvl w:val="0"/>
                <w:numId w:val="36"/>
              </w:numPr>
              <w:rPr>
                <w:rFonts w:cs="Arial"/>
                <w:sz w:val="20"/>
                <w:szCs w:val="20"/>
              </w:rPr>
            </w:pPr>
            <w:r w:rsidRPr="00194D68">
              <w:rPr>
                <w:rFonts w:cs="Arial"/>
                <w:sz w:val="20"/>
                <w:szCs w:val="20"/>
              </w:rPr>
              <w:t>Clarifies the right of appeal (para. ‎28).</w:t>
            </w:r>
          </w:p>
          <w:p w:rsidRPr="00194D68" w:rsidR="00194D68" w:rsidP="00194D68" w:rsidRDefault="00194D68" w14:paraId="22558498" w14:textId="29CDD43D">
            <w:pPr>
              <w:pStyle w:val="ListParagraph"/>
              <w:numPr>
                <w:ilvl w:val="0"/>
                <w:numId w:val="36"/>
              </w:numPr>
              <w:rPr>
                <w:rFonts w:cs="Arial"/>
                <w:sz w:val="20"/>
                <w:szCs w:val="20"/>
              </w:rPr>
            </w:pPr>
            <w:r w:rsidRPr="00194D68">
              <w:rPr>
                <w:rFonts w:cs="Arial"/>
                <w:sz w:val="20"/>
                <w:szCs w:val="20"/>
              </w:rPr>
              <w:t>Reduces the amount of permitted APL for the New Route PhD to reflect the reduction in the number of research training credits for the degree introduced Sep 07 (QH:B11).</w:t>
            </w:r>
          </w:p>
        </w:tc>
      </w:tr>
      <w:tr w:rsidRPr="002E6BBA" w:rsidR="00194D68" w:rsidTr="00194D68" w14:paraId="36FE4A35" w14:textId="77777777">
        <w:tc>
          <w:tcPr>
            <w:tcW w:w="572" w:type="pct"/>
          </w:tcPr>
          <w:p w:rsidRPr="00194D68" w:rsidR="00194D68" w:rsidP="00194D68" w:rsidRDefault="00194D68" w14:paraId="50DBDC06" w14:textId="693A0074">
            <w:pPr>
              <w:rPr>
                <w:rFonts w:cs="Arial"/>
                <w:sz w:val="20"/>
                <w:szCs w:val="20"/>
              </w:rPr>
            </w:pPr>
            <w:r w:rsidRPr="00194D68">
              <w:rPr>
                <w:rFonts w:cs="Arial"/>
                <w:sz w:val="20"/>
                <w:szCs w:val="20"/>
              </w:rPr>
              <w:t>2 02</w:t>
            </w:r>
          </w:p>
        </w:tc>
        <w:tc>
          <w:tcPr>
            <w:tcW w:w="1804" w:type="pct"/>
          </w:tcPr>
          <w:p w:rsidRPr="00194D68" w:rsidR="00194D68" w:rsidP="00194D68" w:rsidRDefault="00194D68" w14:paraId="1D94A414" w14:textId="71306124">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6A675B32" w14:textId="680B9DB5">
            <w:pPr>
              <w:rPr>
                <w:rFonts w:cs="Arial"/>
                <w:sz w:val="20"/>
                <w:szCs w:val="20"/>
              </w:rPr>
            </w:pPr>
            <w:r w:rsidRPr="00194D68">
              <w:rPr>
                <w:rFonts w:cs="Arial"/>
                <w:sz w:val="20"/>
                <w:szCs w:val="20"/>
              </w:rPr>
              <w:t xml:space="preserve">Sept 2006, </w:t>
            </w:r>
          </w:p>
        </w:tc>
        <w:tc>
          <w:tcPr>
            <w:tcW w:w="1640" w:type="pct"/>
          </w:tcPr>
          <w:p w:rsidRPr="00194D68" w:rsidR="00194D68" w:rsidP="00194D68" w:rsidRDefault="00194D68" w14:paraId="1A227564" w14:textId="20AE1DDE">
            <w:pPr>
              <w:rPr>
                <w:rFonts w:cs="Arial"/>
                <w:sz w:val="20"/>
                <w:szCs w:val="20"/>
              </w:rPr>
            </w:pPr>
            <w:r w:rsidRPr="00194D68">
              <w:rPr>
                <w:rFonts w:cs="Arial"/>
                <w:sz w:val="20"/>
                <w:szCs w:val="20"/>
              </w:rPr>
              <w:t>Is the result of an extensive review by a working group reporting to QSC which also involved recommendations from Academic Board and the Entry Qualifications Group. It includes a form – annexe 1- which must be completed as a means to record APL decisions.</w:t>
            </w:r>
          </w:p>
        </w:tc>
      </w:tr>
      <w:tr w:rsidRPr="002E6BBA" w:rsidR="00194D68" w:rsidTr="00194D68" w14:paraId="4BF50500" w14:textId="77777777">
        <w:tc>
          <w:tcPr>
            <w:tcW w:w="572" w:type="pct"/>
          </w:tcPr>
          <w:p w:rsidRPr="00194D68" w:rsidR="00194D68" w:rsidP="00194D68" w:rsidRDefault="00194D68" w14:paraId="547194AA" w14:textId="52BCA3D1">
            <w:pPr>
              <w:rPr>
                <w:rFonts w:cs="Arial"/>
                <w:sz w:val="20"/>
                <w:szCs w:val="20"/>
              </w:rPr>
            </w:pPr>
            <w:r w:rsidRPr="00194D68">
              <w:rPr>
                <w:rFonts w:cs="Arial"/>
                <w:sz w:val="20"/>
                <w:szCs w:val="20"/>
              </w:rPr>
              <w:t>1 00</w:t>
            </w:r>
          </w:p>
        </w:tc>
        <w:tc>
          <w:tcPr>
            <w:tcW w:w="1804" w:type="pct"/>
          </w:tcPr>
          <w:p w:rsidRPr="00194D68" w:rsidR="00194D68" w:rsidP="00194D68" w:rsidRDefault="00194D68" w14:paraId="24612D8E" w14:textId="29E55E6C">
            <w:pPr>
              <w:rPr>
                <w:rFonts w:cs="Arial"/>
                <w:sz w:val="20"/>
                <w:szCs w:val="20"/>
              </w:rPr>
            </w:pPr>
            <w:r w:rsidRPr="00194D68">
              <w:rPr>
                <w:rFonts w:cs="Arial"/>
                <w:sz w:val="20"/>
                <w:szCs w:val="20"/>
              </w:rPr>
              <w:t>Quality Officer</w:t>
            </w:r>
          </w:p>
        </w:tc>
        <w:tc>
          <w:tcPr>
            <w:tcW w:w="984" w:type="pct"/>
          </w:tcPr>
          <w:p w:rsidRPr="00194D68" w:rsidR="00194D68" w:rsidP="00194D68" w:rsidRDefault="00194D68" w14:paraId="3F1D545D" w14:textId="5F641260">
            <w:pPr>
              <w:rPr>
                <w:rFonts w:cs="Arial"/>
                <w:sz w:val="20"/>
                <w:szCs w:val="20"/>
              </w:rPr>
            </w:pPr>
            <w:r w:rsidRPr="00194D68">
              <w:rPr>
                <w:rFonts w:cs="Arial"/>
                <w:sz w:val="20"/>
                <w:szCs w:val="20"/>
              </w:rPr>
              <w:t xml:space="preserve">May 1999, Student Progress Committee </w:t>
            </w:r>
          </w:p>
        </w:tc>
        <w:tc>
          <w:tcPr>
            <w:tcW w:w="1640" w:type="pct"/>
          </w:tcPr>
          <w:p w:rsidRPr="00194D68" w:rsidR="00194D68" w:rsidP="00194D68" w:rsidRDefault="00194D68" w14:paraId="633A3AF7" w14:textId="1D21CF1C">
            <w:pPr>
              <w:rPr>
                <w:rFonts w:cs="Arial"/>
                <w:sz w:val="20"/>
                <w:szCs w:val="20"/>
              </w:rPr>
            </w:pPr>
            <w:r w:rsidRPr="00194D68">
              <w:rPr>
                <w:rFonts w:cs="Arial"/>
                <w:sz w:val="20"/>
                <w:szCs w:val="20"/>
              </w:rPr>
              <w:t>Guidance for staff on the accreditation of prior certificated learning (APCL)and the accreditation of prior experiential learning (APEL) for applicants and registered students.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4402E2A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01FF">
          <w:rPr>
            <w:color w:val="0E1647"/>
            <w:sz w:val="20"/>
            <w:szCs w:val="20"/>
          </w:rPr>
          <w:t>3 01 Housekeeping</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E01FF">
          <w:rPr>
            <w:color w:val="0E1647"/>
            <w:sz w:val="20"/>
            <w:szCs w:val="20"/>
          </w:rPr>
          <w:t>Education Student Experience Committee (Education Committee from Jan 2025)</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4-23T00:00:00Z">
          <w:dateFormat w:val="dd MMMM yyyy"/>
          <w:lid w:val="en-GB"/>
          <w:storeMappedDataAs w:val="dateTime"/>
          <w:calendar w:val="gregorian"/>
        </w:date>
      </w:sdtPr>
      <w:sdtEndPr>
        <w:rPr>
          <w:sz w:val="18"/>
          <w:szCs w:val="18"/>
        </w:rPr>
      </w:sdtEndPr>
      <w:sdtContent>
        <w:r w:rsidR="00A96B3D">
          <w:rPr>
            <w:color w:val="0E1647"/>
            <w:sz w:val="20"/>
            <w:szCs w:val="20"/>
          </w:rPr>
          <w:t>23 April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0638"/>
    <w:multiLevelType w:val="hybridMultilevel"/>
    <w:tmpl w:val="A0FC5C7A"/>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8A016E"/>
    <w:multiLevelType w:val="hybridMultilevel"/>
    <w:tmpl w:val="B860D41C"/>
    <w:lvl w:ilvl="0" w:tplc="86AE449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17675"/>
    <w:multiLevelType w:val="hybridMultilevel"/>
    <w:tmpl w:val="8AA8F73E"/>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 w15:restartNumberingAfterBreak="0">
    <w:nsid w:val="24ED53EE"/>
    <w:multiLevelType w:val="hybridMultilevel"/>
    <w:tmpl w:val="37704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90D3D"/>
    <w:multiLevelType w:val="hybridMultilevel"/>
    <w:tmpl w:val="22CE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85878"/>
    <w:multiLevelType w:val="hybridMultilevel"/>
    <w:tmpl w:val="716E0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51F94"/>
    <w:multiLevelType w:val="hybridMultilevel"/>
    <w:tmpl w:val="4490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75201E44"/>
    <w:multiLevelType w:val="hybridMultilevel"/>
    <w:tmpl w:val="A5E6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77F958D9"/>
    <w:multiLevelType w:val="hybridMultilevel"/>
    <w:tmpl w:val="65062E34"/>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5"/>
  </w:num>
  <w:num w:numId="4" w16cid:durableId="524560203">
    <w:abstractNumId w:val="0"/>
  </w:num>
  <w:num w:numId="5" w16cid:durableId="1627469934">
    <w:abstractNumId w:val="1"/>
  </w:num>
  <w:num w:numId="6" w16cid:durableId="680661117">
    <w:abstractNumId w:val="21"/>
  </w:num>
  <w:num w:numId="7" w16cid:durableId="618489342">
    <w:abstractNumId w:val="29"/>
  </w:num>
  <w:num w:numId="8" w16cid:durableId="38600704">
    <w:abstractNumId w:val="15"/>
  </w:num>
  <w:num w:numId="9" w16cid:durableId="196748008">
    <w:abstractNumId w:val="23"/>
  </w:num>
  <w:num w:numId="10" w16cid:durableId="674041465">
    <w:abstractNumId w:val="13"/>
  </w:num>
  <w:num w:numId="11" w16cid:durableId="1829788642">
    <w:abstractNumId w:val="12"/>
  </w:num>
  <w:num w:numId="12" w16cid:durableId="1614629240">
    <w:abstractNumId w:val="6"/>
  </w:num>
  <w:num w:numId="13" w16cid:durableId="615139952">
    <w:abstractNumId w:val="30"/>
  </w:num>
  <w:num w:numId="14" w16cid:durableId="1635480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4"/>
  </w:num>
  <w:num w:numId="17" w16cid:durableId="181824227">
    <w:abstractNumId w:val="14"/>
  </w:num>
  <w:num w:numId="18" w16cid:durableId="464158055">
    <w:abstractNumId w:val="2"/>
  </w:num>
  <w:num w:numId="19" w16cid:durableId="1785808961">
    <w:abstractNumId w:val="27"/>
  </w:num>
  <w:num w:numId="20" w16cid:durableId="1417629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1"/>
  </w:num>
  <w:num w:numId="24" w16cid:durableId="2128428633">
    <w:abstractNumId w:val="7"/>
  </w:num>
  <w:num w:numId="25" w16cid:durableId="1281495573">
    <w:abstractNumId w:val="24"/>
  </w:num>
  <w:num w:numId="26" w16cid:durableId="121654258">
    <w:abstractNumId w:val="16"/>
  </w:num>
  <w:num w:numId="27" w16cid:durableId="195434652">
    <w:abstractNumId w:val="16"/>
  </w:num>
  <w:num w:numId="28" w16cid:durableId="387068858">
    <w:abstractNumId w:val="9"/>
  </w:num>
  <w:num w:numId="29" w16cid:durableId="348723194">
    <w:abstractNumId w:val="28"/>
  </w:num>
  <w:num w:numId="30" w16cid:durableId="23143239">
    <w:abstractNumId w:val="5"/>
  </w:num>
  <w:num w:numId="31" w16cid:durableId="784931760">
    <w:abstractNumId w:val="26"/>
  </w:num>
  <w:num w:numId="32" w16cid:durableId="835918794">
    <w:abstractNumId w:val="10"/>
  </w:num>
  <w:num w:numId="33" w16cid:durableId="839392433">
    <w:abstractNumId w:val="22"/>
  </w:num>
  <w:num w:numId="34" w16cid:durableId="1902785245">
    <w:abstractNumId w:val="8"/>
  </w:num>
  <w:num w:numId="35" w16cid:durableId="1871801353">
    <w:abstractNumId w:val="11"/>
  </w:num>
  <w:num w:numId="36" w16cid:durableId="20634032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2E91"/>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67F"/>
    <w:rsid w:val="00144FF0"/>
    <w:rsid w:val="00147726"/>
    <w:rsid w:val="00147CA2"/>
    <w:rsid w:val="00165927"/>
    <w:rsid w:val="00182E6C"/>
    <w:rsid w:val="00186E2C"/>
    <w:rsid w:val="00191ACC"/>
    <w:rsid w:val="00194D68"/>
    <w:rsid w:val="001A22C9"/>
    <w:rsid w:val="001A53E4"/>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A12C1"/>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B7494"/>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87621"/>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4D27"/>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63B0D"/>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47E70"/>
    <w:rsid w:val="0085777E"/>
    <w:rsid w:val="0087565F"/>
    <w:rsid w:val="008812A9"/>
    <w:rsid w:val="00896120"/>
    <w:rsid w:val="008A24D4"/>
    <w:rsid w:val="008A4E7F"/>
    <w:rsid w:val="008A6142"/>
    <w:rsid w:val="008D4541"/>
    <w:rsid w:val="008D4A8E"/>
    <w:rsid w:val="008E79B5"/>
    <w:rsid w:val="008F2463"/>
    <w:rsid w:val="008F34C8"/>
    <w:rsid w:val="00916886"/>
    <w:rsid w:val="00930FB7"/>
    <w:rsid w:val="00936E32"/>
    <w:rsid w:val="00944EE4"/>
    <w:rsid w:val="009500FF"/>
    <w:rsid w:val="00955C59"/>
    <w:rsid w:val="00966661"/>
    <w:rsid w:val="0098217A"/>
    <w:rsid w:val="0098688D"/>
    <w:rsid w:val="00996542"/>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0A"/>
    <w:rsid w:val="009F20A5"/>
    <w:rsid w:val="00A01DD0"/>
    <w:rsid w:val="00A153B9"/>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96B3D"/>
    <w:rsid w:val="00AB02EF"/>
    <w:rsid w:val="00AB16CB"/>
    <w:rsid w:val="00AB3C14"/>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28D"/>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B666B"/>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C0514"/>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1FB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01FF"/>
    <w:rsid w:val="00EE7735"/>
    <w:rsid w:val="00EF0854"/>
    <w:rsid w:val="00EF337D"/>
    <w:rsid w:val="00F01270"/>
    <w:rsid w:val="00F065A7"/>
    <w:rsid w:val="00F10E04"/>
    <w:rsid w:val="00F11B79"/>
    <w:rsid w:val="00F21292"/>
    <w:rsid w:val="00F24D55"/>
    <w:rsid w:val="00F3779A"/>
    <w:rsid w:val="00F4191D"/>
    <w:rsid w:val="00F43353"/>
    <w:rsid w:val="00F44576"/>
    <w:rsid w:val="00F530EA"/>
    <w:rsid w:val="00F532E9"/>
    <w:rsid w:val="00F56FEA"/>
    <w:rsid w:val="00F5717C"/>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AB3C14"/>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AB3C1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ull.ac.uk/choose-hull/study-at-hull/admissions/docs/policies/general-policy-for-student-admis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hull.ac.uk/choose-hull/study-at-hull/admissions/docs/policies/complaints-procedure-for-student-admis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B7494"/>
    <w:rsid w:val="00441CBD"/>
    <w:rsid w:val="0054449F"/>
    <w:rsid w:val="00544843"/>
    <w:rsid w:val="005C4CE9"/>
    <w:rsid w:val="00604D27"/>
    <w:rsid w:val="00627A49"/>
    <w:rsid w:val="007F2846"/>
    <w:rsid w:val="00937783"/>
    <w:rsid w:val="009836DA"/>
    <w:rsid w:val="00996542"/>
    <w:rsid w:val="009F088A"/>
    <w:rsid w:val="009F200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2024-04-23T00:00:00</PublishDate>
  <Abstract>Recognition of Prior Certificated and Experiential Learning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4154</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27777</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UCoP Recognition of Prior Learning v3 01 March 2025 Housekeeping</dc:title>
  <dc:subject>
  </dc:subject>
  <dc:creator>Katie J Skilton</dc:creator>
  <cp:keywords>
  </cp:keywords>
  <dc:description>
  </dc:description>
  <cp:lastModifiedBy>lisa Tees</cp:lastModifiedBy>
  <cp:revision>46</cp:revision>
  <cp:lastPrinted>2018-01-15T16:18:00Z</cp:lastPrinted>
  <dcterms:created xsi:type="dcterms:W3CDTF">2024-03-15T12:22:00Z</dcterms:created>
  <dcterms:modified xsi:type="dcterms:W3CDTF">2025-03-21T08:56:10Z</dcterms:modified>
  <cp:contentStatus>3 01 Housekeeping</cp:contentStatus>
</cp:coreProperties>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