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7CA2" w:rsidP="004E530B" w:rsidRDefault="00965E49" w14:paraId="567FF2F5" w14:textId="18A66BA5">
      <w:pPr>
        <w:pStyle w:val="PolicyTitle"/>
        <w:spacing w:after="360" w:line="240" w:lineRule="auto"/>
        <w:rPr>
          <w:sz w:val="36"/>
          <w:szCs w:val="36"/>
        </w:rPr>
      </w:pPr>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r w:rsidR="0096710A">
            <w:rPr>
              <w:sz w:val="36"/>
              <w:szCs w:val="36"/>
            </w:rPr>
            <w:t>Approval of Modules</w:t>
          </w:r>
        </w:sdtContent>
      </w:sdt>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965E49" w14:paraId="39306864" w14:textId="617AFAD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96710A">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965E49" w14:paraId="31B699F8" w14:textId="6F0093E6">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710A">
                  <w:rPr>
                    <w:b w:val="0"/>
                    <w:bCs/>
                    <w:color w:val="auto"/>
                    <w:sz w:val="22"/>
                    <w:szCs w:val="22"/>
                  </w:rPr>
                  <w:t>4 06</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965E49" w14:paraId="086EE632" w14:textId="078D53C7">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C4A4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965E49" w14:paraId="61A4A8F3" w14:textId="693EB7DF">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C4A4A">
                  <w:rPr>
                    <w:b w:val="0"/>
                    <w:bCs/>
                    <w:color w:val="auto"/>
                    <w:sz w:val="22"/>
                    <w:szCs w:val="22"/>
                  </w:rPr>
                  <w:t>Education Committee - Housekeeping</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965E49" w14:paraId="1252F2F2" w14:textId="45DCF3BA">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4-29T00:00:00Z">
                  <w:dateFormat w:val="dd MMMM yyyy"/>
                  <w:lid w:val="en-GB"/>
                  <w:storeMappedDataAs w:val="dateTime"/>
                  <w:calendar w:val="gregorian"/>
                </w:date>
              </w:sdtPr>
              <w:sdtEndPr/>
              <w:sdtContent>
                <w:r w:rsidR="00A55C17">
                  <w:rPr>
                    <w:b w:val="0"/>
                    <w:bCs/>
                    <w:color w:val="auto"/>
                    <w:sz w:val="22"/>
                    <w:szCs w:val="22"/>
                  </w:rPr>
                  <w:t xml:space="preserve">29 </w:t>
                </w:r>
                <w:r w:rsidR="00F454F3">
                  <w:rPr>
                    <w:b w:val="0"/>
                    <w:bCs/>
                    <w:color w:val="auto"/>
                    <w:sz w:val="22"/>
                    <w:szCs w:val="22"/>
                  </w:rPr>
                  <w:t>April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965E49" w14:paraId="3AC671EE" w14:textId="690D0D51">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dateFormat w:val="dd MMMM yyyy"/>
                  <w:lid w:val="en-GB"/>
                  <w:storeMappedDataAs w:val="dateTime"/>
                  <w:calendar w:val="gregorian"/>
                </w:date>
              </w:sdtPr>
              <w:sdtEndPr/>
              <w:sdtContent>
                <w:r w:rsidR="00EC4A4A">
                  <w:rPr>
                    <w:b w:val="0"/>
                    <w:bCs/>
                    <w:color w:val="auto"/>
                    <w:sz w:val="22"/>
                    <w:szCs w:val="22"/>
                  </w:rPr>
                  <w:t xml:space="preserve">Immediate </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965E49" w14:paraId="5101B7D5" w14:textId="6A40FA3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F454F3">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965E49" w14:paraId="5EBE624B" w14:textId="683087A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96710A">
                  <w:rPr>
                    <w:b w:val="0"/>
                    <w:bCs/>
                    <w:color w:val="auto"/>
                    <w:sz w:val="22"/>
                    <w:szCs w:val="22"/>
                  </w:rPr>
                  <w:t>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965E49" w14:paraId="196463B0" w14:textId="3A09350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96710A">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0AFF7244" w14:textId="77777777">
            <w:pPr>
              <w:pStyle w:val="PolicyTitle"/>
              <w:spacing w:after="240"/>
              <w:rPr>
                <w:color w:val="auto"/>
                <w:sz w:val="22"/>
                <w:szCs w:val="22"/>
              </w:rPr>
            </w:pPr>
            <w:r w:rsidRPr="005C3775">
              <w:rPr>
                <w:color w:val="auto"/>
                <w:sz w:val="22"/>
                <w:szCs w:val="22"/>
              </w:rPr>
              <w:t>Contact:</w:t>
            </w:r>
          </w:p>
          <w:p w:rsidRPr="005C3775" w:rsidR="0096710A" w:rsidP="00E73AF9" w:rsidRDefault="0096710A" w14:paraId="17A0E353" w14:textId="11210464">
            <w:pPr>
              <w:pStyle w:val="PolicyTitle"/>
              <w:spacing w:after="240"/>
              <w:rPr>
                <w:color w:val="auto"/>
                <w:sz w:val="22"/>
                <w:szCs w:val="22"/>
              </w:rPr>
            </w:pPr>
            <w:r>
              <w:rPr>
                <w:color w:val="auto"/>
                <w:sz w:val="22"/>
                <w:szCs w:val="22"/>
              </w:rPr>
              <w:t>Report Exemptions to:</w:t>
            </w:r>
          </w:p>
        </w:tc>
        <w:tc>
          <w:tcPr>
            <w:tcW w:w="6336" w:type="dxa"/>
          </w:tcPr>
          <w:p w:rsidR="00FD5282" w:rsidP="00E73AF9" w:rsidRDefault="00965E49" w14:paraId="6002FCC6"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96710A">
                  <w:rPr>
                    <w:b w:val="0"/>
                    <w:bCs/>
                    <w:color w:val="auto"/>
                    <w:sz w:val="22"/>
                    <w:szCs w:val="22"/>
                    <w:lang w:val="it-IT"/>
                  </w:rPr>
                  <w:t>Quality Support Service</w:t>
                </w:r>
              </w:sdtContent>
            </w:sdt>
          </w:p>
          <w:p w:rsidRPr="0096710A" w:rsidR="0096710A" w:rsidP="0096710A" w:rsidRDefault="0096710A" w14:paraId="123D99E2" w14:textId="5E6A9B22">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965E49" w14:paraId="2461BAFE" w14:textId="0883B30B">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96710A">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965E49" w14:paraId="30450FD0" w14:textId="5520DF40">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96710A" w:rsidR="0096710A">
                  <w:rPr>
                    <w:b w:val="0"/>
                    <w:bCs/>
                    <w:color w:val="auto"/>
                    <w:sz w:val="22"/>
                    <w:szCs w:val="22"/>
                  </w:rPr>
                  <w:t>University Code of Practice: Modifications to Programmes of Study.  QAA UK Quality Code</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965E49" w14:paraId="10AD8CAD" w14:textId="270D5777">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6710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965E49" w14:paraId="047E3FAD" w14:textId="459171D1">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96710A" w:rsidR="0096710A">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96710A" w14:paraId="338EF9A3" w14:textId="76BB0664">
          <w:pPr>
            <w:pStyle w:val="PolicyTitle"/>
            <w:spacing w:after="360" w:line="240" w:lineRule="auto"/>
            <w:rPr>
              <w:sz w:val="36"/>
              <w:szCs w:val="36"/>
            </w:rPr>
          </w:pPr>
          <w:r>
            <w:rPr>
              <w:sz w:val="36"/>
              <w:szCs w:val="36"/>
            </w:rPr>
            <w:t>Approval of Modules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C4A4A" w:rsidRDefault="00F24D55" w14:paraId="32A1F8DD" w14:textId="2D17FC08">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97610003">
            <w:r w:rsidRPr="00EE5038" w:rsidR="00EC4A4A">
              <w:rPr>
                <w:rStyle w:val="Hyperlink"/>
                <w:noProof/>
              </w:rPr>
              <w:t>1</w:t>
            </w:r>
            <w:r w:rsidR="00EC4A4A">
              <w:rPr>
                <w:rFonts w:asciiTheme="minorHAnsi" w:hAnsiTheme="minorHAnsi" w:cstheme="minorBidi"/>
                <w:noProof/>
                <w:kern w:val="2"/>
                <w:sz w:val="24"/>
                <w:szCs w:val="24"/>
                <w:lang w:val="en-GB" w:eastAsia="en-GB"/>
                <w14:ligatures w14:val="standardContextual"/>
              </w:rPr>
              <w:tab/>
            </w:r>
            <w:r w:rsidRPr="00EE5038" w:rsidR="00EC4A4A">
              <w:rPr>
                <w:rStyle w:val="Hyperlink"/>
                <w:noProof/>
              </w:rPr>
              <w:t>Introduction</w:t>
            </w:r>
            <w:r w:rsidR="00EC4A4A">
              <w:rPr>
                <w:noProof/>
                <w:webHidden/>
              </w:rPr>
              <w:tab/>
            </w:r>
            <w:r w:rsidR="00EC4A4A">
              <w:rPr>
                <w:noProof/>
                <w:webHidden/>
              </w:rPr>
              <w:fldChar w:fldCharType="begin"/>
            </w:r>
            <w:r w:rsidR="00EC4A4A">
              <w:rPr>
                <w:noProof/>
                <w:webHidden/>
              </w:rPr>
              <w:instrText xml:space="preserve"> PAGEREF _Toc197610003 \h </w:instrText>
            </w:r>
            <w:r w:rsidR="00EC4A4A">
              <w:rPr>
                <w:noProof/>
                <w:webHidden/>
              </w:rPr>
            </w:r>
            <w:r w:rsidR="00EC4A4A">
              <w:rPr>
                <w:noProof/>
                <w:webHidden/>
              </w:rPr>
              <w:fldChar w:fldCharType="separate"/>
            </w:r>
            <w:r w:rsidR="00EC4A4A">
              <w:rPr>
                <w:noProof/>
                <w:webHidden/>
              </w:rPr>
              <w:t>3</w:t>
            </w:r>
            <w:r w:rsidR="00EC4A4A">
              <w:rPr>
                <w:noProof/>
                <w:webHidden/>
              </w:rPr>
              <w:fldChar w:fldCharType="end"/>
            </w:r>
          </w:hyperlink>
        </w:p>
        <w:p w:rsidR="00EC4A4A" w:rsidRDefault="00EC4A4A" w14:paraId="0AD4FD19" w14:textId="21788F67">
          <w:pPr>
            <w:pStyle w:val="TOC2"/>
            <w:rPr>
              <w:rFonts w:asciiTheme="minorHAnsi" w:hAnsiTheme="minorHAnsi" w:cstheme="minorBidi"/>
              <w:noProof/>
              <w:kern w:val="2"/>
              <w:sz w:val="24"/>
              <w:szCs w:val="24"/>
              <w:lang w:val="en-GB" w:eastAsia="en-GB"/>
              <w14:ligatures w14:val="standardContextual"/>
            </w:rPr>
          </w:pPr>
          <w:hyperlink w:history="1" w:anchor="_Toc197610004">
            <w:r w:rsidRPr="00EE5038">
              <w:rPr>
                <w:rStyle w:val="Hyperlink"/>
                <w:noProof/>
              </w:rPr>
              <w:t>Authority</w:t>
            </w:r>
            <w:r>
              <w:rPr>
                <w:noProof/>
                <w:webHidden/>
              </w:rPr>
              <w:tab/>
            </w:r>
            <w:r>
              <w:rPr>
                <w:noProof/>
                <w:webHidden/>
              </w:rPr>
              <w:fldChar w:fldCharType="begin"/>
            </w:r>
            <w:r>
              <w:rPr>
                <w:noProof/>
                <w:webHidden/>
              </w:rPr>
              <w:instrText xml:space="preserve"> PAGEREF _Toc197610004 \h </w:instrText>
            </w:r>
            <w:r>
              <w:rPr>
                <w:noProof/>
                <w:webHidden/>
              </w:rPr>
            </w:r>
            <w:r>
              <w:rPr>
                <w:noProof/>
                <w:webHidden/>
              </w:rPr>
              <w:fldChar w:fldCharType="separate"/>
            </w:r>
            <w:r>
              <w:rPr>
                <w:noProof/>
                <w:webHidden/>
              </w:rPr>
              <w:t>3</w:t>
            </w:r>
            <w:r>
              <w:rPr>
                <w:noProof/>
                <w:webHidden/>
              </w:rPr>
              <w:fldChar w:fldCharType="end"/>
            </w:r>
          </w:hyperlink>
        </w:p>
        <w:p w:rsidR="00EC4A4A" w:rsidRDefault="00EC4A4A" w14:paraId="27FE4E26" w14:textId="2DDFF187">
          <w:pPr>
            <w:pStyle w:val="TOC2"/>
            <w:rPr>
              <w:rFonts w:asciiTheme="minorHAnsi" w:hAnsiTheme="minorHAnsi" w:cstheme="minorBidi"/>
              <w:noProof/>
              <w:kern w:val="2"/>
              <w:sz w:val="24"/>
              <w:szCs w:val="24"/>
              <w:lang w:val="en-GB" w:eastAsia="en-GB"/>
              <w14:ligatures w14:val="standardContextual"/>
            </w:rPr>
          </w:pPr>
          <w:hyperlink w:history="1" w:anchor="_Toc197610005">
            <w:r w:rsidRPr="00EE5038">
              <w:rPr>
                <w:rStyle w:val="Hyperlink"/>
                <w:noProof/>
              </w:rPr>
              <w:t>Delegation</w:t>
            </w:r>
            <w:r>
              <w:rPr>
                <w:noProof/>
                <w:webHidden/>
              </w:rPr>
              <w:tab/>
            </w:r>
            <w:r>
              <w:rPr>
                <w:noProof/>
                <w:webHidden/>
              </w:rPr>
              <w:fldChar w:fldCharType="begin"/>
            </w:r>
            <w:r>
              <w:rPr>
                <w:noProof/>
                <w:webHidden/>
              </w:rPr>
              <w:instrText xml:space="preserve"> PAGEREF _Toc197610005 \h </w:instrText>
            </w:r>
            <w:r>
              <w:rPr>
                <w:noProof/>
                <w:webHidden/>
              </w:rPr>
            </w:r>
            <w:r>
              <w:rPr>
                <w:noProof/>
                <w:webHidden/>
              </w:rPr>
              <w:fldChar w:fldCharType="separate"/>
            </w:r>
            <w:r>
              <w:rPr>
                <w:noProof/>
                <w:webHidden/>
              </w:rPr>
              <w:t>3</w:t>
            </w:r>
            <w:r>
              <w:rPr>
                <w:noProof/>
                <w:webHidden/>
              </w:rPr>
              <w:fldChar w:fldCharType="end"/>
            </w:r>
          </w:hyperlink>
        </w:p>
        <w:p w:rsidR="00EC4A4A" w:rsidRDefault="00EC4A4A" w14:paraId="6208C5C5" w14:textId="0C84827F">
          <w:pPr>
            <w:pStyle w:val="TOC1"/>
            <w:rPr>
              <w:rFonts w:asciiTheme="minorHAnsi" w:hAnsiTheme="minorHAnsi" w:cstheme="minorBidi"/>
              <w:noProof/>
              <w:kern w:val="2"/>
              <w:sz w:val="24"/>
              <w:szCs w:val="24"/>
              <w:lang w:val="en-GB" w:eastAsia="en-GB"/>
              <w14:ligatures w14:val="standardContextual"/>
            </w:rPr>
          </w:pPr>
          <w:hyperlink w:history="1" w:anchor="_Toc197610006">
            <w:r w:rsidRPr="00EE5038">
              <w:rPr>
                <w:rStyle w:val="Hyperlink"/>
                <w:noProof/>
              </w:rPr>
              <w:t>2</w:t>
            </w:r>
            <w:r>
              <w:rPr>
                <w:rFonts w:asciiTheme="minorHAnsi" w:hAnsiTheme="minorHAnsi" w:cstheme="minorBidi"/>
                <w:noProof/>
                <w:kern w:val="2"/>
                <w:sz w:val="24"/>
                <w:szCs w:val="24"/>
                <w:lang w:val="en-GB" w:eastAsia="en-GB"/>
                <w14:ligatures w14:val="standardContextual"/>
              </w:rPr>
              <w:tab/>
            </w:r>
            <w:r w:rsidRPr="00EE5038">
              <w:rPr>
                <w:rStyle w:val="Hyperlink"/>
                <w:noProof/>
              </w:rPr>
              <w:t>Scope</w:t>
            </w:r>
            <w:r>
              <w:rPr>
                <w:noProof/>
                <w:webHidden/>
              </w:rPr>
              <w:tab/>
            </w:r>
            <w:r>
              <w:rPr>
                <w:noProof/>
                <w:webHidden/>
              </w:rPr>
              <w:fldChar w:fldCharType="begin"/>
            </w:r>
            <w:r>
              <w:rPr>
                <w:noProof/>
                <w:webHidden/>
              </w:rPr>
              <w:instrText xml:space="preserve"> PAGEREF _Toc197610006 \h </w:instrText>
            </w:r>
            <w:r>
              <w:rPr>
                <w:noProof/>
                <w:webHidden/>
              </w:rPr>
            </w:r>
            <w:r>
              <w:rPr>
                <w:noProof/>
                <w:webHidden/>
              </w:rPr>
              <w:fldChar w:fldCharType="separate"/>
            </w:r>
            <w:r>
              <w:rPr>
                <w:noProof/>
                <w:webHidden/>
              </w:rPr>
              <w:t>3</w:t>
            </w:r>
            <w:r>
              <w:rPr>
                <w:noProof/>
                <w:webHidden/>
              </w:rPr>
              <w:fldChar w:fldCharType="end"/>
            </w:r>
          </w:hyperlink>
        </w:p>
        <w:p w:rsidR="00EC4A4A" w:rsidRDefault="00EC4A4A" w14:paraId="0597F8BA" w14:textId="7AAF6626">
          <w:pPr>
            <w:pStyle w:val="TOC2"/>
            <w:rPr>
              <w:rFonts w:asciiTheme="minorHAnsi" w:hAnsiTheme="minorHAnsi" w:cstheme="minorBidi"/>
              <w:noProof/>
              <w:kern w:val="2"/>
              <w:sz w:val="24"/>
              <w:szCs w:val="24"/>
              <w:lang w:val="en-GB" w:eastAsia="en-GB"/>
              <w14:ligatures w14:val="standardContextual"/>
            </w:rPr>
          </w:pPr>
          <w:hyperlink w:history="1" w:anchor="_Toc197610007">
            <w:r w:rsidRPr="00EE5038">
              <w:rPr>
                <w:rStyle w:val="Hyperlink"/>
                <w:noProof/>
              </w:rPr>
              <w:t>On campus provision</w:t>
            </w:r>
            <w:r>
              <w:rPr>
                <w:noProof/>
                <w:webHidden/>
              </w:rPr>
              <w:tab/>
            </w:r>
            <w:r>
              <w:rPr>
                <w:noProof/>
                <w:webHidden/>
              </w:rPr>
              <w:fldChar w:fldCharType="begin"/>
            </w:r>
            <w:r>
              <w:rPr>
                <w:noProof/>
                <w:webHidden/>
              </w:rPr>
              <w:instrText xml:space="preserve"> PAGEREF _Toc197610007 \h </w:instrText>
            </w:r>
            <w:r>
              <w:rPr>
                <w:noProof/>
                <w:webHidden/>
              </w:rPr>
            </w:r>
            <w:r>
              <w:rPr>
                <w:noProof/>
                <w:webHidden/>
              </w:rPr>
              <w:fldChar w:fldCharType="separate"/>
            </w:r>
            <w:r>
              <w:rPr>
                <w:noProof/>
                <w:webHidden/>
              </w:rPr>
              <w:t>3</w:t>
            </w:r>
            <w:r>
              <w:rPr>
                <w:noProof/>
                <w:webHidden/>
              </w:rPr>
              <w:fldChar w:fldCharType="end"/>
            </w:r>
          </w:hyperlink>
        </w:p>
        <w:p w:rsidR="00EC4A4A" w:rsidRDefault="00EC4A4A" w14:paraId="322DA919" w14:textId="37F8F91A">
          <w:pPr>
            <w:pStyle w:val="TOC2"/>
            <w:rPr>
              <w:rFonts w:asciiTheme="minorHAnsi" w:hAnsiTheme="minorHAnsi" w:cstheme="minorBidi"/>
              <w:noProof/>
              <w:kern w:val="2"/>
              <w:sz w:val="24"/>
              <w:szCs w:val="24"/>
              <w:lang w:val="en-GB" w:eastAsia="en-GB"/>
              <w14:ligatures w14:val="standardContextual"/>
            </w:rPr>
          </w:pPr>
          <w:hyperlink w:history="1" w:anchor="_Toc197610008">
            <w:r w:rsidRPr="00EE5038">
              <w:rPr>
                <w:rStyle w:val="Hyperlink"/>
                <w:noProof/>
              </w:rPr>
              <w:t>Collaborative provision</w:t>
            </w:r>
            <w:r>
              <w:rPr>
                <w:noProof/>
                <w:webHidden/>
              </w:rPr>
              <w:tab/>
            </w:r>
            <w:r>
              <w:rPr>
                <w:noProof/>
                <w:webHidden/>
              </w:rPr>
              <w:fldChar w:fldCharType="begin"/>
            </w:r>
            <w:r>
              <w:rPr>
                <w:noProof/>
                <w:webHidden/>
              </w:rPr>
              <w:instrText xml:space="preserve"> PAGEREF _Toc197610008 \h </w:instrText>
            </w:r>
            <w:r>
              <w:rPr>
                <w:noProof/>
                <w:webHidden/>
              </w:rPr>
            </w:r>
            <w:r>
              <w:rPr>
                <w:noProof/>
                <w:webHidden/>
              </w:rPr>
              <w:fldChar w:fldCharType="separate"/>
            </w:r>
            <w:r>
              <w:rPr>
                <w:noProof/>
                <w:webHidden/>
              </w:rPr>
              <w:t>3</w:t>
            </w:r>
            <w:r>
              <w:rPr>
                <w:noProof/>
                <w:webHidden/>
              </w:rPr>
              <w:fldChar w:fldCharType="end"/>
            </w:r>
          </w:hyperlink>
        </w:p>
        <w:p w:rsidR="00EC4A4A" w:rsidRDefault="00EC4A4A" w14:paraId="1CBD0065" w14:textId="43E7A6C8">
          <w:pPr>
            <w:pStyle w:val="TOC1"/>
            <w:rPr>
              <w:rFonts w:asciiTheme="minorHAnsi" w:hAnsiTheme="minorHAnsi" w:cstheme="minorBidi"/>
              <w:noProof/>
              <w:kern w:val="2"/>
              <w:sz w:val="24"/>
              <w:szCs w:val="24"/>
              <w:lang w:val="en-GB" w:eastAsia="en-GB"/>
              <w14:ligatures w14:val="standardContextual"/>
            </w:rPr>
          </w:pPr>
          <w:hyperlink w:history="1" w:anchor="_Toc197610009">
            <w:r w:rsidRPr="00EE5038">
              <w:rPr>
                <w:rStyle w:val="Hyperlink"/>
                <w:noProof/>
              </w:rPr>
              <w:t>3</w:t>
            </w:r>
            <w:r>
              <w:rPr>
                <w:rFonts w:asciiTheme="minorHAnsi" w:hAnsiTheme="minorHAnsi" w:cstheme="minorBidi"/>
                <w:noProof/>
                <w:kern w:val="2"/>
                <w:sz w:val="24"/>
                <w:szCs w:val="24"/>
                <w:lang w:val="en-GB" w:eastAsia="en-GB"/>
                <w14:ligatures w14:val="standardContextual"/>
              </w:rPr>
              <w:tab/>
            </w:r>
            <w:r w:rsidRPr="00EE5038">
              <w:rPr>
                <w:rStyle w:val="Hyperlink"/>
                <w:noProof/>
              </w:rPr>
              <w:t>Professional Accreditation</w:t>
            </w:r>
            <w:r>
              <w:rPr>
                <w:noProof/>
                <w:webHidden/>
              </w:rPr>
              <w:tab/>
            </w:r>
            <w:r>
              <w:rPr>
                <w:noProof/>
                <w:webHidden/>
              </w:rPr>
              <w:fldChar w:fldCharType="begin"/>
            </w:r>
            <w:r>
              <w:rPr>
                <w:noProof/>
                <w:webHidden/>
              </w:rPr>
              <w:instrText xml:space="preserve"> PAGEREF _Toc197610009 \h </w:instrText>
            </w:r>
            <w:r>
              <w:rPr>
                <w:noProof/>
                <w:webHidden/>
              </w:rPr>
            </w:r>
            <w:r>
              <w:rPr>
                <w:noProof/>
                <w:webHidden/>
              </w:rPr>
              <w:fldChar w:fldCharType="separate"/>
            </w:r>
            <w:r>
              <w:rPr>
                <w:noProof/>
                <w:webHidden/>
              </w:rPr>
              <w:t>3</w:t>
            </w:r>
            <w:r>
              <w:rPr>
                <w:noProof/>
                <w:webHidden/>
              </w:rPr>
              <w:fldChar w:fldCharType="end"/>
            </w:r>
          </w:hyperlink>
        </w:p>
        <w:p w:rsidR="00EC4A4A" w:rsidRDefault="00EC4A4A" w14:paraId="19C4F424" w14:textId="5783AE65">
          <w:pPr>
            <w:pStyle w:val="TOC1"/>
            <w:rPr>
              <w:rFonts w:asciiTheme="minorHAnsi" w:hAnsiTheme="minorHAnsi" w:cstheme="minorBidi"/>
              <w:noProof/>
              <w:kern w:val="2"/>
              <w:sz w:val="24"/>
              <w:szCs w:val="24"/>
              <w:lang w:val="en-GB" w:eastAsia="en-GB"/>
              <w14:ligatures w14:val="standardContextual"/>
            </w:rPr>
          </w:pPr>
          <w:hyperlink w:history="1" w:anchor="_Toc197610010">
            <w:r w:rsidRPr="00EE5038">
              <w:rPr>
                <w:rStyle w:val="Hyperlink"/>
                <w:noProof/>
              </w:rPr>
              <w:t>4</w:t>
            </w:r>
            <w:r>
              <w:rPr>
                <w:rFonts w:asciiTheme="minorHAnsi" w:hAnsiTheme="minorHAnsi" w:cstheme="minorBidi"/>
                <w:noProof/>
                <w:kern w:val="2"/>
                <w:sz w:val="24"/>
                <w:szCs w:val="24"/>
                <w:lang w:val="en-GB" w:eastAsia="en-GB"/>
                <w14:ligatures w14:val="standardContextual"/>
              </w:rPr>
              <w:tab/>
            </w:r>
            <w:r w:rsidRPr="00EE5038">
              <w:rPr>
                <w:rStyle w:val="Hyperlink"/>
                <w:noProof/>
              </w:rPr>
              <w:t>Approval Process</w:t>
            </w:r>
            <w:r>
              <w:rPr>
                <w:noProof/>
                <w:webHidden/>
              </w:rPr>
              <w:tab/>
            </w:r>
            <w:r>
              <w:rPr>
                <w:noProof/>
                <w:webHidden/>
              </w:rPr>
              <w:fldChar w:fldCharType="begin"/>
            </w:r>
            <w:r>
              <w:rPr>
                <w:noProof/>
                <w:webHidden/>
              </w:rPr>
              <w:instrText xml:space="preserve"> PAGEREF _Toc197610010 \h </w:instrText>
            </w:r>
            <w:r>
              <w:rPr>
                <w:noProof/>
                <w:webHidden/>
              </w:rPr>
            </w:r>
            <w:r>
              <w:rPr>
                <w:noProof/>
                <w:webHidden/>
              </w:rPr>
              <w:fldChar w:fldCharType="separate"/>
            </w:r>
            <w:r>
              <w:rPr>
                <w:noProof/>
                <w:webHidden/>
              </w:rPr>
              <w:t>3</w:t>
            </w:r>
            <w:r>
              <w:rPr>
                <w:noProof/>
                <w:webHidden/>
              </w:rPr>
              <w:fldChar w:fldCharType="end"/>
            </w:r>
          </w:hyperlink>
        </w:p>
        <w:p w:rsidR="00EC4A4A" w:rsidRDefault="00EC4A4A" w14:paraId="33D6CD90" w14:textId="39B25ABF">
          <w:pPr>
            <w:pStyle w:val="TOC2"/>
            <w:rPr>
              <w:rFonts w:asciiTheme="minorHAnsi" w:hAnsiTheme="minorHAnsi" w:cstheme="minorBidi"/>
              <w:noProof/>
              <w:kern w:val="2"/>
              <w:sz w:val="24"/>
              <w:szCs w:val="24"/>
              <w:lang w:val="en-GB" w:eastAsia="en-GB"/>
              <w14:ligatures w14:val="standardContextual"/>
            </w:rPr>
          </w:pPr>
          <w:hyperlink w:history="1" w:anchor="_Toc197610011">
            <w:r w:rsidRPr="00EE5038">
              <w:rPr>
                <w:rStyle w:val="Hyperlink"/>
                <w:noProof/>
              </w:rPr>
              <w:t>Approval route</w:t>
            </w:r>
            <w:r>
              <w:rPr>
                <w:noProof/>
                <w:webHidden/>
              </w:rPr>
              <w:tab/>
            </w:r>
            <w:r>
              <w:rPr>
                <w:noProof/>
                <w:webHidden/>
              </w:rPr>
              <w:fldChar w:fldCharType="begin"/>
            </w:r>
            <w:r>
              <w:rPr>
                <w:noProof/>
                <w:webHidden/>
              </w:rPr>
              <w:instrText xml:space="preserve"> PAGEREF _Toc197610011 \h </w:instrText>
            </w:r>
            <w:r>
              <w:rPr>
                <w:noProof/>
                <w:webHidden/>
              </w:rPr>
            </w:r>
            <w:r>
              <w:rPr>
                <w:noProof/>
                <w:webHidden/>
              </w:rPr>
              <w:fldChar w:fldCharType="separate"/>
            </w:r>
            <w:r>
              <w:rPr>
                <w:noProof/>
                <w:webHidden/>
              </w:rPr>
              <w:t>3</w:t>
            </w:r>
            <w:r>
              <w:rPr>
                <w:noProof/>
                <w:webHidden/>
              </w:rPr>
              <w:fldChar w:fldCharType="end"/>
            </w:r>
          </w:hyperlink>
        </w:p>
        <w:p w:rsidR="00EC4A4A" w:rsidRDefault="00EC4A4A" w14:paraId="5298E7E6" w14:textId="2E494746">
          <w:pPr>
            <w:pStyle w:val="TOC2"/>
            <w:rPr>
              <w:rFonts w:asciiTheme="minorHAnsi" w:hAnsiTheme="minorHAnsi" w:cstheme="minorBidi"/>
              <w:noProof/>
              <w:kern w:val="2"/>
              <w:sz w:val="24"/>
              <w:szCs w:val="24"/>
              <w:lang w:val="en-GB" w:eastAsia="en-GB"/>
              <w14:ligatures w14:val="standardContextual"/>
            </w:rPr>
          </w:pPr>
          <w:hyperlink w:history="1" w:anchor="_Toc197610012">
            <w:r w:rsidRPr="00EE5038">
              <w:rPr>
                <w:rStyle w:val="Hyperlink"/>
                <w:noProof/>
              </w:rPr>
              <w:t>Withdrawal of modules</w:t>
            </w:r>
            <w:r>
              <w:rPr>
                <w:noProof/>
                <w:webHidden/>
              </w:rPr>
              <w:tab/>
            </w:r>
            <w:r>
              <w:rPr>
                <w:noProof/>
                <w:webHidden/>
              </w:rPr>
              <w:fldChar w:fldCharType="begin"/>
            </w:r>
            <w:r>
              <w:rPr>
                <w:noProof/>
                <w:webHidden/>
              </w:rPr>
              <w:instrText xml:space="preserve"> PAGEREF _Toc197610012 \h </w:instrText>
            </w:r>
            <w:r>
              <w:rPr>
                <w:noProof/>
                <w:webHidden/>
              </w:rPr>
            </w:r>
            <w:r>
              <w:rPr>
                <w:noProof/>
                <w:webHidden/>
              </w:rPr>
              <w:fldChar w:fldCharType="separate"/>
            </w:r>
            <w:r>
              <w:rPr>
                <w:noProof/>
                <w:webHidden/>
              </w:rPr>
              <w:t>4</w:t>
            </w:r>
            <w:r>
              <w:rPr>
                <w:noProof/>
                <w:webHidden/>
              </w:rPr>
              <w:fldChar w:fldCharType="end"/>
            </w:r>
          </w:hyperlink>
        </w:p>
        <w:p w:rsidR="00EC4A4A" w:rsidRDefault="00EC4A4A" w14:paraId="4F05538C" w14:textId="15F4204B">
          <w:pPr>
            <w:pStyle w:val="TOC2"/>
            <w:rPr>
              <w:rFonts w:asciiTheme="minorHAnsi" w:hAnsiTheme="minorHAnsi" w:cstheme="minorBidi"/>
              <w:noProof/>
              <w:kern w:val="2"/>
              <w:sz w:val="24"/>
              <w:szCs w:val="24"/>
              <w:lang w:val="en-GB" w:eastAsia="en-GB"/>
              <w14:ligatures w14:val="standardContextual"/>
            </w:rPr>
          </w:pPr>
          <w:hyperlink w:history="1" w:anchor="_Toc197610013">
            <w:r w:rsidRPr="00EE5038">
              <w:rPr>
                <w:rStyle w:val="Hyperlink"/>
                <w:noProof/>
              </w:rPr>
              <w:t>Amendment of modules</w:t>
            </w:r>
            <w:r>
              <w:rPr>
                <w:noProof/>
                <w:webHidden/>
              </w:rPr>
              <w:tab/>
            </w:r>
            <w:r>
              <w:rPr>
                <w:noProof/>
                <w:webHidden/>
              </w:rPr>
              <w:fldChar w:fldCharType="begin"/>
            </w:r>
            <w:r>
              <w:rPr>
                <w:noProof/>
                <w:webHidden/>
              </w:rPr>
              <w:instrText xml:space="preserve"> PAGEREF _Toc197610013 \h </w:instrText>
            </w:r>
            <w:r>
              <w:rPr>
                <w:noProof/>
                <w:webHidden/>
              </w:rPr>
            </w:r>
            <w:r>
              <w:rPr>
                <w:noProof/>
                <w:webHidden/>
              </w:rPr>
              <w:fldChar w:fldCharType="separate"/>
            </w:r>
            <w:r>
              <w:rPr>
                <w:noProof/>
                <w:webHidden/>
              </w:rPr>
              <w:t>4</w:t>
            </w:r>
            <w:r>
              <w:rPr>
                <w:noProof/>
                <w:webHidden/>
              </w:rPr>
              <w:fldChar w:fldCharType="end"/>
            </w:r>
          </w:hyperlink>
        </w:p>
        <w:p w:rsidR="00EC4A4A" w:rsidRDefault="00EC4A4A" w14:paraId="1A62F867" w14:textId="7DEDA156">
          <w:pPr>
            <w:pStyle w:val="TOC2"/>
            <w:rPr>
              <w:rFonts w:asciiTheme="minorHAnsi" w:hAnsiTheme="minorHAnsi" w:cstheme="minorBidi"/>
              <w:noProof/>
              <w:kern w:val="2"/>
              <w:sz w:val="24"/>
              <w:szCs w:val="24"/>
              <w:lang w:val="en-GB" w:eastAsia="en-GB"/>
              <w14:ligatures w14:val="standardContextual"/>
            </w:rPr>
          </w:pPr>
          <w:hyperlink w:history="1" w:anchor="_Toc197610014">
            <w:r w:rsidRPr="00EE5038">
              <w:rPr>
                <w:rStyle w:val="Hyperlink"/>
                <w:noProof/>
              </w:rPr>
              <w:t>Consultation</w:t>
            </w:r>
            <w:r>
              <w:rPr>
                <w:noProof/>
                <w:webHidden/>
              </w:rPr>
              <w:tab/>
            </w:r>
            <w:r>
              <w:rPr>
                <w:noProof/>
                <w:webHidden/>
              </w:rPr>
              <w:fldChar w:fldCharType="begin"/>
            </w:r>
            <w:r>
              <w:rPr>
                <w:noProof/>
                <w:webHidden/>
              </w:rPr>
              <w:instrText xml:space="preserve"> PAGEREF _Toc197610014 \h </w:instrText>
            </w:r>
            <w:r>
              <w:rPr>
                <w:noProof/>
                <w:webHidden/>
              </w:rPr>
            </w:r>
            <w:r>
              <w:rPr>
                <w:noProof/>
                <w:webHidden/>
              </w:rPr>
              <w:fldChar w:fldCharType="separate"/>
            </w:r>
            <w:r>
              <w:rPr>
                <w:noProof/>
                <w:webHidden/>
              </w:rPr>
              <w:t>4</w:t>
            </w:r>
            <w:r>
              <w:rPr>
                <w:noProof/>
                <w:webHidden/>
              </w:rPr>
              <w:fldChar w:fldCharType="end"/>
            </w:r>
          </w:hyperlink>
        </w:p>
        <w:p w:rsidR="00EC4A4A" w:rsidRDefault="00EC4A4A" w14:paraId="61E05963" w14:textId="6D32FA35">
          <w:pPr>
            <w:pStyle w:val="TOC2"/>
            <w:rPr>
              <w:rFonts w:asciiTheme="minorHAnsi" w:hAnsiTheme="minorHAnsi" w:cstheme="minorBidi"/>
              <w:noProof/>
              <w:kern w:val="2"/>
              <w:sz w:val="24"/>
              <w:szCs w:val="24"/>
              <w:lang w:val="en-GB" w:eastAsia="en-GB"/>
              <w14:ligatures w14:val="standardContextual"/>
            </w:rPr>
          </w:pPr>
          <w:hyperlink w:history="1" w:anchor="_Toc197610015">
            <w:r w:rsidRPr="00EE5038">
              <w:rPr>
                <w:rStyle w:val="Hyperlink"/>
                <w:noProof/>
              </w:rPr>
              <w:t>Approval documentation</w:t>
            </w:r>
            <w:r>
              <w:rPr>
                <w:noProof/>
                <w:webHidden/>
              </w:rPr>
              <w:tab/>
            </w:r>
            <w:r>
              <w:rPr>
                <w:noProof/>
                <w:webHidden/>
              </w:rPr>
              <w:fldChar w:fldCharType="begin"/>
            </w:r>
            <w:r>
              <w:rPr>
                <w:noProof/>
                <w:webHidden/>
              </w:rPr>
              <w:instrText xml:space="preserve"> PAGEREF _Toc197610015 \h </w:instrText>
            </w:r>
            <w:r>
              <w:rPr>
                <w:noProof/>
                <w:webHidden/>
              </w:rPr>
            </w:r>
            <w:r>
              <w:rPr>
                <w:noProof/>
                <w:webHidden/>
              </w:rPr>
              <w:fldChar w:fldCharType="separate"/>
            </w:r>
            <w:r>
              <w:rPr>
                <w:noProof/>
                <w:webHidden/>
              </w:rPr>
              <w:t>4</w:t>
            </w:r>
            <w:r>
              <w:rPr>
                <w:noProof/>
                <w:webHidden/>
              </w:rPr>
              <w:fldChar w:fldCharType="end"/>
            </w:r>
          </w:hyperlink>
        </w:p>
        <w:p w:rsidR="00EC4A4A" w:rsidRDefault="00EC4A4A" w14:paraId="76D22039" w14:textId="0E0C116C">
          <w:pPr>
            <w:pStyle w:val="TOC1"/>
            <w:rPr>
              <w:rFonts w:asciiTheme="minorHAnsi" w:hAnsiTheme="minorHAnsi" w:cstheme="minorBidi"/>
              <w:noProof/>
              <w:kern w:val="2"/>
              <w:sz w:val="24"/>
              <w:szCs w:val="24"/>
              <w:lang w:val="en-GB" w:eastAsia="en-GB"/>
              <w14:ligatures w14:val="standardContextual"/>
            </w:rPr>
          </w:pPr>
          <w:hyperlink w:history="1" w:anchor="_Toc197610016">
            <w:r w:rsidRPr="00EE5038">
              <w:rPr>
                <w:rStyle w:val="Hyperlink"/>
                <w:noProof/>
              </w:rPr>
              <w:t>5</w:t>
            </w:r>
            <w:r>
              <w:rPr>
                <w:rFonts w:asciiTheme="minorHAnsi" w:hAnsiTheme="minorHAnsi" w:cstheme="minorBidi"/>
                <w:noProof/>
                <w:kern w:val="2"/>
                <w:sz w:val="24"/>
                <w:szCs w:val="24"/>
                <w:lang w:val="en-GB" w:eastAsia="en-GB"/>
                <w14:ligatures w14:val="standardContextual"/>
              </w:rPr>
              <w:tab/>
            </w:r>
            <w:r w:rsidRPr="00EE5038">
              <w:rPr>
                <w:rStyle w:val="Hyperlink"/>
                <w:noProof/>
              </w:rPr>
              <w:t>Updating the Student Information System</w:t>
            </w:r>
            <w:r>
              <w:rPr>
                <w:noProof/>
                <w:webHidden/>
              </w:rPr>
              <w:tab/>
            </w:r>
            <w:r>
              <w:rPr>
                <w:noProof/>
                <w:webHidden/>
              </w:rPr>
              <w:fldChar w:fldCharType="begin"/>
            </w:r>
            <w:r>
              <w:rPr>
                <w:noProof/>
                <w:webHidden/>
              </w:rPr>
              <w:instrText xml:space="preserve"> PAGEREF _Toc197610016 \h </w:instrText>
            </w:r>
            <w:r>
              <w:rPr>
                <w:noProof/>
                <w:webHidden/>
              </w:rPr>
            </w:r>
            <w:r>
              <w:rPr>
                <w:noProof/>
                <w:webHidden/>
              </w:rPr>
              <w:fldChar w:fldCharType="separate"/>
            </w:r>
            <w:r>
              <w:rPr>
                <w:noProof/>
                <w:webHidden/>
              </w:rPr>
              <w:t>4</w:t>
            </w:r>
            <w:r>
              <w:rPr>
                <w:noProof/>
                <w:webHidden/>
              </w:rPr>
              <w:fldChar w:fldCharType="end"/>
            </w:r>
          </w:hyperlink>
        </w:p>
        <w:p w:rsidR="00EC4A4A" w:rsidRDefault="00EC4A4A" w14:paraId="762B352C" w14:textId="0C4BFF98">
          <w:pPr>
            <w:pStyle w:val="TOC1"/>
            <w:rPr>
              <w:rFonts w:asciiTheme="minorHAnsi" w:hAnsiTheme="minorHAnsi" w:cstheme="minorBidi"/>
              <w:noProof/>
              <w:kern w:val="2"/>
              <w:sz w:val="24"/>
              <w:szCs w:val="24"/>
              <w:lang w:val="en-GB" w:eastAsia="en-GB"/>
              <w14:ligatures w14:val="standardContextual"/>
            </w:rPr>
          </w:pPr>
          <w:hyperlink w:history="1" w:anchor="_Toc197610017">
            <w:r w:rsidRPr="00EE5038">
              <w:rPr>
                <w:rStyle w:val="Hyperlink"/>
                <w:noProof/>
              </w:rPr>
              <w:t>6</w:t>
            </w:r>
            <w:r>
              <w:rPr>
                <w:rFonts w:asciiTheme="minorHAnsi" w:hAnsiTheme="minorHAnsi" w:cstheme="minorBidi"/>
                <w:noProof/>
                <w:kern w:val="2"/>
                <w:sz w:val="24"/>
                <w:szCs w:val="24"/>
                <w:lang w:val="en-GB" w:eastAsia="en-GB"/>
                <w14:ligatures w14:val="standardContextual"/>
              </w:rPr>
              <w:tab/>
            </w:r>
            <w:r w:rsidRPr="00EE5038">
              <w:rPr>
                <w:rStyle w:val="Hyperlink"/>
                <w:noProof/>
              </w:rPr>
              <w:t>Version Control</w:t>
            </w:r>
            <w:r>
              <w:rPr>
                <w:noProof/>
                <w:webHidden/>
              </w:rPr>
              <w:tab/>
            </w:r>
            <w:r>
              <w:rPr>
                <w:noProof/>
                <w:webHidden/>
              </w:rPr>
              <w:fldChar w:fldCharType="begin"/>
            </w:r>
            <w:r>
              <w:rPr>
                <w:noProof/>
                <w:webHidden/>
              </w:rPr>
              <w:instrText xml:space="preserve"> PAGEREF _Toc197610017 \h </w:instrText>
            </w:r>
            <w:r>
              <w:rPr>
                <w:noProof/>
                <w:webHidden/>
              </w:rPr>
            </w:r>
            <w:r>
              <w:rPr>
                <w:noProof/>
                <w:webHidden/>
              </w:rPr>
              <w:fldChar w:fldCharType="separate"/>
            </w:r>
            <w:r>
              <w:rPr>
                <w:noProof/>
                <w:webHidden/>
              </w:rPr>
              <w:t>5</w:t>
            </w:r>
            <w:r>
              <w:rPr>
                <w:noProof/>
                <w:webHidden/>
              </w:rPr>
              <w:fldChar w:fldCharType="end"/>
            </w:r>
          </w:hyperlink>
        </w:p>
        <w:p w:rsidR="00F24D55" w:rsidRDefault="00F24D55" w14:paraId="79CE4072" w14:textId="72A3CC9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96710A" w14:paraId="1027AF12" w14:textId="1649AB7B">
          <w:pPr>
            <w:pStyle w:val="PolicyTitle"/>
            <w:spacing w:after="360" w:line="240" w:lineRule="auto"/>
            <w:rPr>
              <w:sz w:val="36"/>
              <w:szCs w:val="36"/>
            </w:rPr>
          </w:pPr>
          <w:r>
            <w:t>Approval of Modules</w:t>
          </w:r>
        </w:p>
      </w:sdtContent>
    </w:sdt>
    <w:p w:rsidR="00BC5840" w:rsidP="00BC5840" w:rsidRDefault="005A6998" w14:paraId="1470D4D5" w14:textId="37903655">
      <w:pPr>
        <w:pStyle w:val="Heading1"/>
      </w:pPr>
      <w:bookmarkStart w:name="_Toc197610003" w:id="0"/>
      <w:r w:rsidRPr="00780B17">
        <w:t>Introduction</w:t>
      </w:r>
      <w:bookmarkEnd w:id="0"/>
    </w:p>
    <w:p w:rsidRPr="0096710A" w:rsidR="0096710A" w:rsidP="0096710A" w:rsidRDefault="0096710A" w14:paraId="150E163A" w14:textId="77777777">
      <w:pPr>
        <w:pStyle w:val="MainBullet"/>
        <w:rPr>
          <w:lang w:val="en-GB" w:eastAsia="zh-CN"/>
        </w:rPr>
      </w:pPr>
      <w:r w:rsidRPr="0096710A">
        <w:rPr>
          <w:lang w:val="en-GB" w:eastAsia="zh-CN"/>
        </w:rPr>
        <w:t>The purpose of this code is to ensure that the University procedures for the approval of new and amended modules, are robust, transparent and streamlined.</w:t>
      </w:r>
    </w:p>
    <w:p w:rsidRPr="0096710A" w:rsidR="0096710A" w:rsidP="0096710A" w:rsidRDefault="0096710A" w14:paraId="5877671E" w14:textId="77777777">
      <w:pPr>
        <w:pStyle w:val="Heading2"/>
        <w:numPr>
          <w:ilvl w:val="0"/>
          <w:numId w:val="0"/>
        </w:numPr>
        <w:ind w:left="680"/>
      </w:pPr>
      <w:bookmarkStart w:name="_Toc197610004" w:id="1"/>
      <w:r w:rsidRPr="0096710A">
        <w:t>Authority</w:t>
      </w:r>
      <w:bookmarkEnd w:id="1"/>
    </w:p>
    <w:p w:rsidRPr="0096710A" w:rsidR="0096710A" w:rsidP="0096710A" w:rsidRDefault="0096710A" w14:paraId="77BBBEA4" w14:textId="77777777">
      <w:pPr>
        <w:pStyle w:val="MainBullet"/>
        <w:rPr>
          <w:lang w:val="en-GB" w:eastAsia="zh-CN"/>
        </w:rPr>
      </w:pPr>
      <w:r w:rsidRPr="0096710A">
        <w:rPr>
          <w:lang w:val="en-GB" w:eastAsia="zh-CN"/>
        </w:rPr>
        <w:t>The University Education Committee (EC) is the final arbiter of the application and interpretation of this code of practice.</w:t>
      </w:r>
    </w:p>
    <w:p w:rsidRPr="0096710A" w:rsidR="0096710A" w:rsidP="0096710A" w:rsidRDefault="0096710A" w14:paraId="788D841F" w14:textId="77777777">
      <w:pPr>
        <w:pStyle w:val="Heading2"/>
        <w:numPr>
          <w:ilvl w:val="0"/>
          <w:numId w:val="0"/>
        </w:numPr>
        <w:ind w:left="680"/>
      </w:pPr>
      <w:bookmarkStart w:name="_Toc197610005" w:id="2"/>
      <w:r w:rsidRPr="0096710A">
        <w:t>Delegation</w:t>
      </w:r>
      <w:bookmarkEnd w:id="2"/>
    </w:p>
    <w:p w:rsidRPr="0096710A" w:rsidR="00AD62EF" w:rsidP="0096710A" w:rsidRDefault="0096710A" w14:paraId="73A8E4C2" w14:textId="2BAA5819">
      <w:pPr>
        <w:pStyle w:val="MainBullet"/>
        <w:rPr>
          <w:lang w:val="en-GB" w:eastAsia="zh-CN"/>
        </w:rPr>
      </w:pPr>
      <w:r w:rsidRPr="0096710A">
        <w:rPr>
          <w:lang w:val="en-GB" w:eastAsia="zh-CN"/>
        </w:rPr>
        <w:t>Any action or power designated to a dean under this code of practice may be undertaken by an associate dean or Chair of Faculty Education and Student Experience Committee FESEC (or equivalent) of the same faculty.</w:t>
      </w:r>
    </w:p>
    <w:p w:rsidR="00617924" w:rsidP="009D0825" w:rsidRDefault="00617924" w14:paraId="488384CC" w14:textId="3A775FC9">
      <w:pPr>
        <w:pStyle w:val="Heading1"/>
      </w:pPr>
      <w:bookmarkStart w:name="_Toc197610006" w:id="3"/>
      <w:r w:rsidRPr="00780B17">
        <w:t>Scope</w:t>
      </w:r>
      <w:bookmarkEnd w:id="3"/>
    </w:p>
    <w:p w:rsidRPr="0096710A" w:rsidR="0096710A" w:rsidP="0096710A" w:rsidRDefault="0096710A" w14:paraId="15369056" w14:textId="77777777">
      <w:pPr>
        <w:pStyle w:val="Heading2"/>
        <w:numPr>
          <w:ilvl w:val="0"/>
          <w:numId w:val="0"/>
        </w:numPr>
        <w:ind w:left="680"/>
      </w:pPr>
      <w:bookmarkStart w:name="_Toc197610007" w:id="4"/>
      <w:r w:rsidRPr="0096710A">
        <w:t>On campus provision</w:t>
      </w:r>
      <w:bookmarkEnd w:id="4"/>
    </w:p>
    <w:p w:rsidRPr="0096710A" w:rsidR="0096710A" w:rsidP="0096710A" w:rsidRDefault="0096710A" w14:paraId="694BE046" w14:textId="6AB77A88">
      <w:pPr>
        <w:pStyle w:val="MainBullet"/>
        <w:rPr>
          <w:lang w:val="en-GB" w:eastAsia="zh-CN"/>
        </w:rPr>
      </w:pPr>
      <w:r w:rsidRPr="0096710A">
        <w:rPr>
          <w:lang w:val="en-GB" w:eastAsia="zh-CN"/>
        </w:rPr>
        <w:t xml:space="preserve">The term ‘on campus’ within this code of practice is understood to mean programmes and modules which are delivered and supported entirely by University of Hull staff, irrespective of the location of delivery </w:t>
      </w:r>
      <w:proofErr w:type="gramStart"/>
      <w:r w:rsidRPr="0096710A">
        <w:rPr>
          <w:lang w:val="en-GB" w:eastAsia="zh-CN"/>
        </w:rPr>
        <w:t>and also</w:t>
      </w:r>
      <w:proofErr w:type="gramEnd"/>
      <w:r w:rsidRPr="0096710A">
        <w:rPr>
          <w:lang w:val="en-GB" w:eastAsia="zh-CN"/>
        </w:rPr>
        <w:t xml:space="preserve"> includes non-credit bearing provision delivered by university staff.</w:t>
      </w:r>
    </w:p>
    <w:p w:rsidRPr="0096710A" w:rsidR="0096710A" w:rsidP="0096710A" w:rsidRDefault="0096710A" w14:paraId="1EE7BDA4" w14:textId="77777777">
      <w:pPr>
        <w:pStyle w:val="Heading2"/>
        <w:numPr>
          <w:ilvl w:val="0"/>
          <w:numId w:val="0"/>
        </w:numPr>
        <w:ind w:left="680"/>
      </w:pPr>
      <w:bookmarkStart w:name="_Toc197610008" w:id="5"/>
      <w:r w:rsidRPr="0096710A">
        <w:t>Collaborative provision</w:t>
      </w:r>
      <w:bookmarkEnd w:id="5"/>
    </w:p>
    <w:p w:rsidRPr="0096710A" w:rsidR="0096710A" w:rsidP="0096710A" w:rsidRDefault="0096710A" w14:paraId="44D4DB6F" w14:textId="09ADD073">
      <w:pPr>
        <w:pStyle w:val="MainBullet"/>
        <w:rPr>
          <w:lang w:val="en-GB" w:eastAsia="zh-CN"/>
        </w:rPr>
      </w:pPr>
      <w:r w:rsidRPr="0096710A">
        <w:rPr>
          <w:lang w:val="en-GB" w:eastAsia="zh-CN"/>
        </w:rPr>
        <w:t>The term ‘collaborative provision’ in this code means: programmes and modules which are delivered in whole or in part by the staff of a university partner (whether FE institution or other, whether publicly funded or not) irrespective of the location or mode of delivery and leading to credit or an award of the University of Hull.</w:t>
      </w:r>
    </w:p>
    <w:p w:rsidR="0096710A" w:rsidP="0096710A" w:rsidRDefault="0096710A" w14:paraId="2ADDD33D" w14:textId="77777777">
      <w:pPr>
        <w:pStyle w:val="Heading1"/>
      </w:pPr>
      <w:bookmarkStart w:name="_Toc93664506" w:id="6"/>
      <w:bookmarkStart w:name="_Toc197610009" w:id="7"/>
      <w:r>
        <w:t>Professional Accreditation</w:t>
      </w:r>
      <w:bookmarkEnd w:id="6"/>
      <w:bookmarkEnd w:id="7"/>
    </w:p>
    <w:p w:rsidRPr="0096710A" w:rsidR="0096710A" w:rsidP="0096710A" w:rsidRDefault="0096710A" w14:paraId="5811BA65" w14:textId="17482923">
      <w:pPr>
        <w:pStyle w:val="MainBullet"/>
        <w:rPr>
          <w:lang w:val="en-GB" w:eastAsia="zh-CN"/>
        </w:rPr>
      </w:pPr>
      <w:r w:rsidRPr="0096710A">
        <w:rPr>
          <w:lang w:val="en-GB" w:eastAsia="zh-CN"/>
        </w:rPr>
        <w:t>Where appropriate, and in consultation with the relevant professional body, the processes of approval set out in this code will be conducted in parallel with the relevant professional body.</w:t>
      </w:r>
    </w:p>
    <w:p w:rsidR="00523039" w:rsidP="00523039" w:rsidRDefault="0096710A" w14:paraId="52ADC498" w14:textId="427B8458">
      <w:pPr>
        <w:pStyle w:val="Heading1"/>
      </w:pPr>
      <w:bookmarkStart w:name="_Toc197610010" w:id="8"/>
      <w:r>
        <w:t>Approval Process</w:t>
      </w:r>
      <w:bookmarkEnd w:id="8"/>
    </w:p>
    <w:p w:rsidRPr="0096710A" w:rsidR="0096710A" w:rsidP="0096710A" w:rsidRDefault="0096710A" w14:paraId="03EA1DCD" w14:textId="77777777">
      <w:pPr>
        <w:pStyle w:val="Heading2"/>
        <w:numPr>
          <w:ilvl w:val="0"/>
          <w:numId w:val="0"/>
        </w:numPr>
        <w:ind w:left="680"/>
      </w:pPr>
      <w:bookmarkStart w:name="_Toc197610011" w:id="9"/>
      <w:r w:rsidRPr="0096710A">
        <w:t>Approval route</w:t>
      </w:r>
      <w:bookmarkEnd w:id="9"/>
    </w:p>
    <w:p w:rsidRPr="0094706A" w:rsidR="0096710A" w:rsidP="0096710A" w:rsidRDefault="0096710A" w14:paraId="4785FE9D" w14:textId="77777777">
      <w:pPr>
        <w:pStyle w:val="MainBullet"/>
        <w:rPr>
          <w:lang w:val="en-GB" w:eastAsia="zh-CN"/>
        </w:rPr>
      </w:pPr>
      <w:r w:rsidRPr="0094706A">
        <w:rPr>
          <w:lang w:val="en-GB" w:eastAsia="zh-CN"/>
        </w:rPr>
        <w:t>The creation of new modules, and amendment or withdrawal of existing modules, must be approved by the faculty (through the Faculty Education and Student Experience Committee).</w:t>
      </w:r>
    </w:p>
    <w:p w:rsidRPr="0094706A" w:rsidR="0096710A" w:rsidP="0096710A" w:rsidRDefault="0096710A" w14:paraId="7A85AF43" w14:textId="77777777">
      <w:pPr>
        <w:pStyle w:val="MainBullet"/>
        <w:rPr>
          <w:lang w:val="en-GB" w:eastAsia="zh-CN"/>
        </w:rPr>
      </w:pPr>
      <w:r w:rsidRPr="0094706A">
        <w:rPr>
          <w:lang w:val="en-GB" w:eastAsia="zh-CN"/>
        </w:rPr>
        <w:t>Modules offered by partner colleges must be considered by the Joint Board of Studies (</w:t>
      </w:r>
      <w:proofErr w:type="spellStart"/>
      <w:r w:rsidRPr="0094706A">
        <w:rPr>
          <w:lang w:val="en-GB" w:eastAsia="zh-CN"/>
        </w:rPr>
        <w:t>JBoS</w:t>
      </w:r>
      <w:proofErr w:type="spellEnd"/>
      <w:r w:rsidRPr="0094706A">
        <w:rPr>
          <w:lang w:val="en-GB" w:eastAsia="zh-CN"/>
        </w:rPr>
        <w:t>) prior to submission for faculty approval.</w:t>
      </w:r>
    </w:p>
    <w:p w:rsidRPr="0094706A" w:rsidR="0096710A" w:rsidP="0096710A" w:rsidRDefault="0096710A" w14:paraId="75A1A28F" w14:textId="77777777">
      <w:pPr>
        <w:pStyle w:val="MainBullet"/>
        <w:rPr>
          <w:lang w:val="en-GB" w:eastAsia="zh-CN"/>
        </w:rPr>
      </w:pPr>
      <w:r w:rsidRPr="0094706A">
        <w:rPr>
          <w:lang w:val="en-GB" w:eastAsia="zh-CN"/>
        </w:rPr>
        <w:t>All modules submitted for faculty approval must be endorsed by the head of academic unit.</w:t>
      </w:r>
    </w:p>
    <w:p w:rsidRPr="0094706A" w:rsidR="0096710A" w:rsidP="0096710A" w:rsidRDefault="0096710A" w14:paraId="3079DEF8" w14:textId="69E8BA06">
      <w:pPr>
        <w:pStyle w:val="MainBullet"/>
        <w:rPr>
          <w:lang w:val="en-GB" w:eastAsia="zh-CN"/>
        </w:rPr>
      </w:pPr>
      <w:r w:rsidRPr="0094706A">
        <w:rPr>
          <w:lang w:val="en-GB" w:eastAsia="zh-CN"/>
        </w:rPr>
        <w:t xml:space="preserve">Where the module change involves a change to one or more programmes of study (e.g. affecting the programme structure or the programme competencies or teaching, learning or assessment strategy) the change must be treated as an amendment to the </w:t>
      </w:r>
      <w:r w:rsidRPr="0094706A">
        <w:rPr>
          <w:lang w:val="en-GB" w:eastAsia="zh-CN"/>
        </w:rPr>
        <w:lastRenderedPageBreak/>
        <w:t>programme in accordance with the Code of Practice: Modifications to Programmes of Study.</w:t>
      </w:r>
    </w:p>
    <w:p w:rsidRPr="0096710A" w:rsidR="0096710A" w:rsidP="0096710A" w:rsidRDefault="0096710A" w14:paraId="6BD763D8" w14:textId="77777777">
      <w:pPr>
        <w:pStyle w:val="Heading2"/>
        <w:numPr>
          <w:ilvl w:val="0"/>
          <w:numId w:val="0"/>
        </w:numPr>
        <w:ind w:left="680"/>
      </w:pPr>
      <w:bookmarkStart w:name="_Toc197610012" w:id="10"/>
      <w:r w:rsidRPr="0096710A">
        <w:t>Withdrawal of modules</w:t>
      </w:r>
      <w:bookmarkEnd w:id="10"/>
    </w:p>
    <w:p w:rsidRPr="0096710A" w:rsidR="0096710A" w:rsidP="0096710A" w:rsidRDefault="0096710A" w14:paraId="411E5539" w14:textId="77777777">
      <w:pPr>
        <w:pStyle w:val="MainBullet"/>
        <w:rPr>
          <w:lang w:val="en-GB" w:eastAsia="zh-CN"/>
        </w:rPr>
      </w:pPr>
      <w:r w:rsidRPr="0096710A">
        <w:rPr>
          <w:lang w:val="en-GB" w:eastAsia="zh-CN"/>
        </w:rPr>
        <w:t>Where a module is to be withdrawn the academic unit responsible for the module must consult with any other academic unit whose programmes may be affected by the withdrawal. Evidence of such consultation must be provided to the faculty along with the withdrawal proposal. The faculty should be consulted for a list of other academic units likely to be affected by a proposed withdrawal.</w:t>
      </w:r>
    </w:p>
    <w:p w:rsidRPr="0096710A" w:rsidR="0096710A" w:rsidP="0096710A" w:rsidRDefault="0096710A" w14:paraId="43B83A02" w14:textId="77777777">
      <w:pPr>
        <w:pStyle w:val="MainBullet"/>
        <w:rPr>
          <w:lang w:val="en-GB" w:eastAsia="zh-CN"/>
        </w:rPr>
      </w:pPr>
      <w:r w:rsidRPr="0096710A">
        <w:rPr>
          <w:lang w:val="en-GB" w:eastAsia="zh-CN"/>
        </w:rPr>
        <w:t xml:space="preserve">Where a module is delivered by a partner college the information and evidence listed in 4.8 below must be considered by the </w:t>
      </w:r>
      <w:proofErr w:type="spellStart"/>
      <w:r w:rsidRPr="0096710A">
        <w:rPr>
          <w:lang w:val="en-GB" w:eastAsia="zh-CN"/>
        </w:rPr>
        <w:t>JBoS</w:t>
      </w:r>
      <w:proofErr w:type="spellEnd"/>
      <w:r w:rsidRPr="0096710A">
        <w:rPr>
          <w:lang w:val="en-GB" w:eastAsia="zh-CN"/>
        </w:rPr>
        <w:t>.</w:t>
      </w:r>
    </w:p>
    <w:p w:rsidRPr="0096710A" w:rsidR="0096710A" w:rsidP="0096710A" w:rsidRDefault="0096710A" w14:paraId="686F9B3A" w14:textId="77777777">
      <w:pPr>
        <w:pStyle w:val="Heading2"/>
        <w:numPr>
          <w:ilvl w:val="0"/>
          <w:numId w:val="0"/>
        </w:numPr>
        <w:ind w:left="680"/>
      </w:pPr>
      <w:bookmarkStart w:name="_Toc197610013" w:id="11"/>
      <w:r w:rsidRPr="0096710A">
        <w:t>Amendment of modules</w:t>
      </w:r>
      <w:bookmarkEnd w:id="11"/>
    </w:p>
    <w:p w:rsidRPr="0096710A" w:rsidR="0096710A" w:rsidP="0096710A" w:rsidRDefault="0096710A" w14:paraId="1CA2ED8B" w14:textId="77777777">
      <w:pPr>
        <w:pStyle w:val="MainBullet"/>
        <w:rPr>
          <w:lang w:val="en-GB" w:eastAsia="zh-CN"/>
        </w:rPr>
      </w:pPr>
      <w:r w:rsidRPr="0096710A">
        <w:rPr>
          <w:lang w:val="en-GB" w:eastAsia="zh-CN"/>
        </w:rPr>
        <w:t>Amendment in this context includes changing the trimester in which the module is to be delivered.</w:t>
      </w:r>
    </w:p>
    <w:p w:rsidRPr="0096710A" w:rsidR="0096710A" w:rsidP="0096710A" w:rsidRDefault="0096710A" w14:paraId="317FAF6F" w14:textId="77777777">
      <w:pPr>
        <w:pStyle w:val="Heading2"/>
        <w:numPr>
          <w:ilvl w:val="0"/>
          <w:numId w:val="0"/>
        </w:numPr>
        <w:ind w:left="680"/>
      </w:pPr>
      <w:bookmarkStart w:name="_Toc197610014" w:id="12"/>
      <w:r w:rsidRPr="0096710A">
        <w:t>Consultation</w:t>
      </w:r>
      <w:bookmarkEnd w:id="12"/>
      <w:r w:rsidRPr="0096710A">
        <w:t xml:space="preserve"> </w:t>
      </w:r>
    </w:p>
    <w:p w:rsidR="0096710A" w:rsidP="0096710A" w:rsidRDefault="0096710A" w14:paraId="0A7A092C" w14:textId="5CE3E84F">
      <w:pPr>
        <w:pStyle w:val="MainBullet"/>
        <w:rPr>
          <w:lang w:val="en-GB" w:eastAsia="zh-CN"/>
        </w:rPr>
      </w:pPr>
      <w:r w:rsidRPr="0096710A">
        <w:rPr>
          <w:lang w:val="en-GB" w:eastAsia="zh-CN"/>
        </w:rPr>
        <w:t>Where current students will be affected by the amendment to, or withdrawal of, a module (and the changes are not being treated as an amendment to programme) evidence of consultation with the students must be provided in support of the application for amendment or withdrawal.</w:t>
      </w:r>
    </w:p>
    <w:p w:rsidRPr="0096710A" w:rsidR="0096710A" w:rsidP="0096710A" w:rsidRDefault="0096710A" w14:paraId="7BCE7B10" w14:textId="77777777">
      <w:pPr>
        <w:pStyle w:val="Heading2"/>
        <w:numPr>
          <w:ilvl w:val="0"/>
          <w:numId w:val="0"/>
        </w:numPr>
        <w:ind w:left="680"/>
      </w:pPr>
      <w:bookmarkStart w:name="_Toc93664512" w:id="13"/>
      <w:bookmarkStart w:name="_Toc197610015" w:id="14"/>
      <w:r>
        <w:t>Approval documentation</w:t>
      </w:r>
      <w:bookmarkEnd w:id="13"/>
      <w:bookmarkEnd w:id="14"/>
    </w:p>
    <w:p w:rsidRPr="0096710A" w:rsidR="0096710A" w:rsidP="0096710A" w:rsidRDefault="0096710A" w14:paraId="3B541B9C" w14:textId="77777777">
      <w:pPr>
        <w:pStyle w:val="MainBullet"/>
        <w:rPr>
          <w:lang w:val="en-GB" w:eastAsia="zh-CN"/>
        </w:rPr>
      </w:pPr>
      <w:r>
        <w:t>The following documentation is required and must be submitted electronically:</w:t>
      </w:r>
    </w:p>
    <w:tbl>
      <w:tblPr>
        <w:tblStyle w:val="TableGrid"/>
        <w:tblW w:w="0" w:type="auto"/>
        <w:tblInd w:w="680" w:type="dxa"/>
        <w:tblLook w:val="04A0" w:firstRow="1" w:lastRow="0" w:firstColumn="1" w:lastColumn="0" w:noHBand="0" w:noVBand="1"/>
      </w:tblPr>
      <w:tblGrid>
        <w:gridCol w:w="2576"/>
        <w:gridCol w:w="5760"/>
      </w:tblGrid>
      <w:tr w:rsidR="0096710A" w:rsidTr="00CD198A" w14:paraId="420AC06A" w14:textId="77777777">
        <w:tc>
          <w:tcPr>
            <w:tcW w:w="2576" w:type="dxa"/>
          </w:tcPr>
          <w:p w:rsidRPr="0096710A" w:rsidR="0096710A" w:rsidP="00CD198A" w:rsidRDefault="0096710A" w14:paraId="24B400D2" w14:textId="77777777">
            <w:pPr>
              <w:pStyle w:val="numberedmainbody"/>
              <w:ind w:left="0" w:firstLine="0"/>
              <w:rPr>
                <w:rFonts w:ascii="Aptos" w:hAnsi="Aptos"/>
              </w:rPr>
            </w:pPr>
            <w:r w:rsidRPr="0096710A">
              <w:rPr>
                <w:rFonts w:ascii="Aptos" w:hAnsi="Aptos"/>
              </w:rPr>
              <w:t>New module</w:t>
            </w:r>
          </w:p>
        </w:tc>
        <w:tc>
          <w:tcPr>
            <w:tcW w:w="5760" w:type="dxa"/>
          </w:tcPr>
          <w:p w:rsidRPr="0096710A" w:rsidR="0096710A" w:rsidP="00CD198A" w:rsidRDefault="0096710A" w14:paraId="28904744" w14:textId="77777777">
            <w:pPr>
              <w:pStyle w:val="numberedmainbody"/>
              <w:ind w:left="0" w:firstLine="0"/>
              <w:rPr>
                <w:rFonts w:ascii="Aptos" w:hAnsi="Aptos"/>
              </w:rPr>
            </w:pPr>
            <w:r w:rsidRPr="0096710A">
              <w:rPr>
                <w:rFonts w:ascii="Aptos" w:hAnsi="Aptos"/>
              </w:rPr>
              <w:t>Completed module specification</w:t>
            </w:r>
          </w:p>
        </w:tc>
      </w:tr>
      <w:tr w:rsidR="0096710A" w:rsidTr="00CD198A" w14:paraId="7AB8A622" w14:textId="77777777">
        <w:tc>
          <w:tcPr>
            <w:tcW w:w="2576" w:type="dxa"/>
          </w:tcPr>
          <w:p w:rsidRPr="0096710A" w:rsidR="0096710A" w:rsidP="00CD198A" w:rsidRDefault="0096710A" w14:paraId="31846BA4" w14:textId="77777777">
            <w:pPr>
              <w:pStyle w:val="numberedmainbody"/>
              <w:ind w:left="0" w:firstLine="0"/>
              <w:rPr>
                <w:rFonts w:ascii="Aptos" w:hAnsi="Aptos"/>
              </w:rPr>
            </w:pPr>
            <w:r w:rsidRPr="0096710A">
              <w:rPr>
                <w:rFonts w:ascii="Aptos" w:hAnsi="Aptos"/>
              </w:rPr>
              <w:t>Amendment to module</w:t>
            </w:r>
          </w:p>
        </w:tc>
        <w:tc>
          <w:tcPr>
            <w:tcW w:w="5760" w:type="dxa"/>
          </w:tcPr>
          <w:p w:rsidRPr="0096710A" w:rsidR="0096710A" w:rsidP="00CD198A" w:rsidRDefault="0096710A" w14:paraId="402230D8" w14:textId="77777777">
            <w:pPr>
              <w:pStyle w:val="numberedmainbody"/>
              <w:tabs>
                <w:tab w:val="left" w:pos="1221"/>
              </w:tabs>
              <w:ind w:left="0" w:firstLine="0"/>
              <w:rPr>
                <w:rFonts w:ascii="Aptos" w:hAnsi="Aptos"/>
              </w:rPr>
            </w:pPr>
            <w:r w:rsidRPr="0096710A">
              <w:rPr>
                <w:rFonts w:ascii="Aptos" w:hAnsi="Aptos"/>
              </w:rPr>
              <w:t xml:space="preserve">Amended module specification (with changes highlighted) (supported by a list of the </w:t>
            </w:r>
            <w:proofErr w:type="spellStart"/>
            <w:r w:rsidRPr="0096710A">
              <w:rPr>
                <w:rFonts w:ascii="Aptos" w:hAnsi="Aptos"/>
              </w:rPr>
              <w:t>programmes</w:t>
            </w:r>
            <w:proofErr w:type="spellEnd"/>
            <w:r w:rsidRPr="0096710A">
              <w:rPr>
                <w:rFonts w:ascii="Aptos" w:hAnsi="Aptos"/>
              </w:rPr>
              <w:t xml:space="preserve"> affected by the amendment if applicable, and evidence of consultation with relevant academic units).</w:t>
            </w:r>
          </w:p>
        </w:tc>
      </w:tr>
      <w:tr w:rsidR="0096710A" w:rsidTr="00CD198A" w14:paraId="0CC10723" w14:textId="77777777">
        <w:tc>
          <w:tcPr>
            <w:tcW w:w="2576" w:type="dxa"/>
          </w:tcPr>
          <w:p w:rsidRPr="0096710A" w:rsidR="0096710A" w:rsidP="00CD198A" w:rsidRDefault="0096710A" w14:paraId="18CA5420" w14:textId="77777777">
            <w:pPr>
              <w:pStyle w:val="numberedmainbody"/>
              <w:ind w:left="0" w:firstLine="0"/>
              <w:rPr>
                <w:rFonts w:ascii="Aptos" w:hAnsi="Aptos"/>
              </w:rPr>
            </w:pPr>
            <w:r w:rsidRPr="0096710A">
              <w:rPr>
                <w:rFonts w:ascii="Aptos" w:hAnsi="Aptos"/>
              </w:rPr>
              <w:t>Withdrawal of module</w:t>
            </w:r>
          </w:p>
        </w:tc>
        <w:tc>
          <w:tcPr>
            <w:tcW w:w="5760" w:type="dxa"/>
          </w:tcPr>
          <w:p w:rsidRPr="0096710A" w:rsidR="0096710A" w:rsidP="00CD198A" w:rsidRDefault="0096710A" w14:paraId="250A0726" w14:textId="77777777">
            <w:pPr>
              <w:pStyle w:val="numberedmainbody"/>
              <w:ind w:left="0" w:firstLine="0"/>
              <w:rPr>
                <w:rFonts w:ascii="Aptos" w:hAnsi="Aptos"/>
              </w:rPr>
            </w:pPr>
            <w:r w:rsidRPr="0096710A">
              <w:rPr>
                <w:rFonts w:ascii="Aptos" w:hAnsi="Aptos"/>
              </w:rPr>
              <w:t xml:space="preserve">Copy of current module specification. Completed module withdrawal request form (which lists the </w:t>
            </w:r>
            <w:proofErr w:type="spellStart"/>
            <w:r w:rsidRPr="0096710A">
              <w:rPr>
                <w:rFonts w:ascii="Aptos" w:hAnsi="Aptos"/>
              </w:rPr>
              <w:t>programmes</w:t>
            </w:r>
            <w:proofErr w:type="spellEnd"/>
            <w:r w:rsidRPr="0096710A">
              <w:rPr>
                <w:rFonts w:ascii="Aptos" w:hAnsi="Aptos"/>
              </w:rPr>
              <w:t xml:space="preserve"> affected by the withdrawal, and evidence of consultation with relevant academic units).</w:t>
            </w:r>
          </w:p>
        </w:tc>
      </w:tr>
    </w:tbl>
    <w:p w:rsidRPr="0096710A" w:rsidR="0096710A" w:rsidP="0096710A" w:rsidRDefault="0096710A" w14:paraId="3A9AE457" w14:textId="77777777">
      <w:pPr>
        <w:pStyle w:val="MainBullet"/>
        <w:numPr>
          <w:ilvl w:val="0"/>
          <w:numId w:val="0"/>
        </w:numPr>
        <w:rPr>
          <w:lang w:val="en-GB" w:eastAsia="zh-CN"/>
        </w:rPr>
      </w:pPr>
    </w:p>
    <w:p w:rsidR="0096710A" w:rsidP="0096710A" w:rsidRDefault="0096710A" w14:paraId="080C5F13" w14:textId="7A2A8BEA">
      <w:pPr>
        <w:pStyle w:val="Heading1"/>
      </w:pPr>
      <w:bookmarkStart w:name="_Toc197610016" w:id="15"/>
      <w:r w:rsidRPr="0096710A">
        <w:t>Updating the Student Information System</w:t>
      </w:r>
      <w:bookmarkEnd w:id="15"/>
    </w:p>
    <w:p w:rsidRPr="0096710A" w:rsidR="0096710A" w:rsidP="0096710A" w:rsidRDefault="0096710A" w14:paraId="7B42B9AD" w14:textId="77777777">
      <w:pPr>
        <w:pStyle w:val="MainBullet"/>
        <w:rPr>
          <w:lang w:val="en-GB" w:eastAsia="zh-CN"/>
        </w:rPr>
      </w:pPr>
      <w:r w:rsidRPr="0096710A">
        <w:rPr>
          <w:lang w:val="en-GB" w:eastAsia="zh-CN"/>
        </w:rPr>
        <w:t>Following approval of the changes (to on-campus modules) copies of the documentation specified in 4.9 above must be provided to:</w:t>
      </w:r>
    </w:p>
    <w:p w:rsidRPr="0096710A" w:rsidR="0096710A" w:rsidP="0096710A" w:rsidRDefault="0096710A" w14:paraId="49DA165C" w14:textId="77777777">
      <w:pPr>
        <w:pStyle w:val="MainBullet"/>
        <w:numPr>
          <w:ilvl w:val="0"/>
          <w:numId w:val="0"/>
        </w:numPr>
        <w:spacing w:before="0" w:after="0"/>
        <w:ind w:left="680"/>
        <w:rPr>
          <w:lang w:val="en-GB" w:eastAsia="zh-CN"/>
        </w:rPr>
      </w:pPr>
      <w:r w:rsidRPr="0096710A">
        <w:rPr>
          <w:lang w:val="en-GB" w:eastAsia="zh-CN"/>
        </w:rPr>
        <w:t>Quality Support Service</w:t>
      </w:r>
    </w:p>
    <w:p w:rsidRPr="0096710A" w:rsidR="0096710A" w:rsidP="0096710A" w:rsidRDefault="00AC5261" w14:paraId="4E98B2A5" w14:textId="4783DEDE">
      <w:pPr>
        <w:pStyle w:val="MainBullet"/>
        <w:numPr>
          <w:ilvl w:val="0"/>
          <w:numId w:val="0"/>
        </w:numPr>
        <w:spacing w:before="0" w:after="0"/>
        <w:ind w:left="680"/>
        <w:rPr>
          <w:lang w:val="en-GB" w:eastAsia="zh-CN"/>
        </w:rPr>
      </w:pPr>
      <w:r>
        <w:rPr>
          <w:lang w:val="en-GB" w:eastAsia="zh-CN"/>
        </w:rPr>
        <w:t>Academic Services</w:t>
      </w:r>
    </w:p>
    <w:p w:rsidRPr="0096710A" w:rsidR="0096710A" w:rsidP="0096710A" w:rsidRDefault="0096710A" w14:paraId="530A3B02" w14:textId="77777777">
      <w:pPr>
        <w:pStyle w:val="MainBullet"/>
        <w:numPr>
          <w:ilvl w:val="0"/>
          <w:numId w:val="0"/>
        </w:numPr>
        <w:spacing w:before="0" w:after="0"/>
        <w:ind w:left="680"/>
        <w:rPr>
          <w:lang w:val="en-GB" w:eastAsia="zh-CN"/>
        </w:rPr>
      </w:pPr>
      <w:r w:rsidRPr="0096710A">
        <w:rPr>
          <w:lang w:val="en-GB" w:eastAsia="zh-CN"/>
        </w:rPr>
        <w:t>Faculty Quality Offices</w:t>
      </w:r>
    </w:p>
    <w:p w:rsidRPr="0096710A" w:rsidR="0096710A" w:rsidP="0096710A" w:rsidRDefault="0096710A" w14:paraId="4A86981D" w14:textId="68C13054">
      <w:pPr>
        <w:pStyle w:val="MainBullet"/>
        <w:rPr>
          <w:lang w:val="en-GB" w:eastAsia="zh-CN"/>
        </w:rPr>
      </w:pPr>
      <w:r w:rsidRPr="0096710A">
        <w:rPr>
          <w:lang w:val="en-GB" w:eastAsia="zh-CN"/>
        </w:rPr>
        <w:t xml:space="preserve">Further guidance on updating the SIS can be obtained from </w:t>
      </w:r>
      <w:r w:rsidR="00AC5261">
        <w:rPr>
          <w:lang w:val="en-GB" w:eastAsia="zh-CN"/>
        </w:rPr>
        <w:t>Academic</w:t>
      </w:r>
      <w:r w:rsidRPr="0096710A">
        <w:rPr>
          <w:lang w:val="en-GB" w:eastAsia="zh-CN"/>
        </w:rPr>
        <w:t xml:space="preserve"> Services.</w:t>
      </w:r>
    </w:p>
    <w:p w:rsidRPr="0096710A" w:rsidR="0096710A" w:rsidP="00AC5261" w:rsidRDefault="0096710A" w14:paraId="26CC7CBA" w14:textId="77777777">
      <w:pPr>
        <w:pStyle w:val="MainBullet"/>
        <w:numPr>
          <w:ilvl w:val="0"/>
          <w:numId w:val="0"/>
        </w:numPr>
        <w:ind w:left="680"/>
        <w:rPr>
          <w:lang w:val="en-GB" w:eastAsia="zh-CN"/>
        </w:rPr>
      </w:pPr>
    </w:p>
    <w:p w:rsidRPr="008F2463" w:rsidR="00AC5261" w:rsidP="00AC5261" w:rsidRDefault="00AC5261" w14:paraId="6D61ADE1" w14:textId="77777777">
      <w:pPr>
        <w:pStyle w:val="Heading1"/>
      </w:pPr>
      <w:bookmarkStart w:name="_Toc197610017" w:id="16"/>
      <w:r w:rsidRPr="008F2463">
        <w:lastRenderedPageBreak/>
        <w:t>Version Control</w:t>
      </w:r>
      <w:bookmarkEnd w:id="16"/>
    </w:p>
    <w:tbl>
      <w:tblPr>
        <w:tblStyle w:val="TableGrid"/>
        <w:tblW w:w="0" w:type="auto"/>
        <w:tblLook w:val="04A0" w:firstRow="1" w:lastRow="0" w:firstColumn="1" w:lastColumn="0" w:noHBand="0" w:noVBand="1"/>
      </w:tblPr>
      <w:tblGrid>
        <w:gridCol w:w="980"/>
        <w:gridCol w:w="2862"/>
        <w:gridCol w:w="1686"/>
        <w:gridCol w:w="3488"/>
      </w:tblGrid>
      <w:tr w:rsidR="00AC5261" w:rsidTr="000C1196" w14:paraId="530DA85C" w14:textId="77777777">
        <w:tc>
          <w:tcPr>
            <w:tcW w:w="980" w:type="dxa"/>
          </w:tcPr>
          <w:p w:rsidRPr="008F2463" w:rsidR="00AC5261" w:rsidP="00CD198A" w:rsidRDefault="00AC5261" w14:paraId="57587883" w14:textId="77777777">
            <w:pPr>
              <w:rPr>
                <w:rFonts w:ascii="Calibri" w:hAnsi="Calibri" w:cs="Arial"/>
                <w:b/>
                <w:bCs/>
              </w:rPr>
            </w:pPr>
            <w:r w:rsidRPr="008F2463">
              <w:rPr>
                <w:rFonts w:ascii="Calibri" w:hAnsi="Calibri" w:cs="Arial"/>
                <w:b/>
                <w:bCs/>
              </w:rPr>
              <w:t>Version</w:t>
            </w:r>
          </w:p>
        </w:tc>
        <w:tc>
          <w:tcPr>
            <w:tcW w:w="2862" w:type="dxa"/>
          </w:tcPr>
          <w:p w:rsidRPr="008F2463" w:rsidR="00AC5261" w:rsidP="00CD198A" w:rsidRDefault="00AC5261" w14:paraId="78142974" w14:textId="77777777">
            <w:pPr>
              <w:rPr>
                <w:rFonts w:ascii="Calibri" w:hAnsi="Calibri" w:cs="Arial"/>
                <w:b/>
                <w:bCs/>
              </w:rPr>
            </w:pPr>
            <w:r w:rsidRPr="008F2463">
              <w:rPr>
                <w:rFonts w:ascii="Calibri" w:hAnsi="Calibri" w:cs="Arial"/>
                <w:b/>
                <w:bCs/>
              </w:rPr>
              <w:t>Author</w:t>
            </w:r>
          </w:p>
        </w:tc>
        <w:tc>
          <w:tcPr>
            <w:tcW w:w="1686" w:type="dxa"/>
          </w:tcPr>
          <w:p w:rsidRPr="008F2463" w:rsidR="00AC5261" w:rsidP="00CD198A" w:rsidRDefault="00AC5261" w14:paraId="38874E9D" w14:textId="77777777">
            <w:pPr>
              <w:rPr>
                <w:rFonts w:ascii="Calibri" w:hAnsi="Calibri" w:cs="Arial"/>
                <w:b/>
                <w:bCs/>
              </w:rPr>
            </w:pPr>
            <w:r w:rsidRPr="008F2463">
              <w:rPr>
                <w:rFonts w:ascii="Calibri" w:hAnsi="Calibri" w:cs="Arial"/>
                <w:b/>
                <w:bCs/>
              </w:rPr>
              <w:t>Date approved</w:t>
            </w:r>
          </w:p>
        </w:tc>
        <w:tc>
          <w:tcPr>
            <w:tcW w:w="3488" w:type="dxa"/>
          </w:tcPr>
          <w:p w:rsidRPr="008F2463" w:rsidR="00AC5261" w:rsidP="00CD198A" w:rsidRDefault="00AC5261" w14:paraId="39DFA019" w14:textId="77777777">
            <w:pPr>
              <w:rPr>
                <w:rFonts w:ascii="Calibri" w:hAnsi="Calibri" w:cs="Arial"/>
                <w:b/>
                <w:bCs/>
              </w:rPr>
            </w:pPr>
            <w:r w:rsidRPr="008F2463">
              <w:rPr>
                <w:rFonts w:ascii="Calibri" w:hAnsi="Calibri" w:cs="Arial"/>
                <w:b/>
                <w:bCs/>
              </w:rPr>
              <w:t>Relevant sections</w:t>
            </w:r>
          </w:p>
        </w:tc>
      </w:tr>
      <w:tr w:rsidR="00AC5261" w:rsidTr="000C1196" w14:paraId="75261D72" w14:textId="77777777">
        <w:tc>
          <w:tcPr>
            <w:tcW w:w="980" w:type="dxa"/>
          </w:tcPr>
          <w:p w:rsidRPr="000C1196" w:rsidR="00AC5261" w:rsidP="00CD198A" w:rsidRDefault="00AC5261" w14:paraId="030C1337" w14:textId="2934E747">
            <w:pPr>
              <w:rPr>
                <w:rFonts w:cs="Arial"/>
                <w:sz w:val="20"/>
                <w:szCs w:val="20"/>
              </w:rPr>
            </w:pPr>
            <w:r w:rsidRPr="000C1196">
              <w:rPr>
                <w:rFonts w:cs="Arial"/>
                <w:sz w:val="20"/>
                <w:szCs w:val="20"/>
              </w:rPr>
              <w:t>4 06</w:t>
            </w:r>
          </w:p>
        </w:tc>
        <w:tc>
          <w:tcPr>
            <w:tcW w:w="2862" w:type="dxa"/>
          </w:tcPr>
          <w:p w:rsidRPr="000C1196" w:rsidR="00AC5261" w:rsidP="00CD198A" w:rsidRDefault="00AC5261" w14:paraId="0149C701" w14:textId="65D44D8A">
            <w:pPr>
              <w:rPr>
                <w:rFonts w:cs="Arial"/>
                <w:sz w:val="20"/>
                <w:szCs w:val="20"/>
              </w:rPr>
            </w:pPr>
            <w:r w:rsidRPr="000C1196">
              <w:rPr>
                <w:rFonts w:cs="Arial"/>
                <w:sz w:val="20"/>
                <w:szCs w:val="20"/>
              </w:rPr>
              <w:t>Quality Manager</w:t>
            </w:r>
          </w:p>
        </w:tc>
        <w:tc>
          <w:tcPr>
            <w:tcW w:w="1686" w:type="dxa"/>
          </w:tcPr>
          <w:p w:rsidRPr="000C1196" w:rsidR="00AC5261" w:rsidP="00CD198A" w:rsidRDefault="00AC5261" w14:paraId="06641051" w14:textId="78396717">
            <w:pPr>
              <w:rPr>
                <w:rFonts w:cs="Arial"/>
                <w:sz w:val="20"/>
                <w:szCs w:val="20"/>
              </w:rPr>
            </w:pPr>
            <w:r w:rsidRPr="000C1196">
              <w:rPr>
                <w:rFonts w:cs="Arial"/>
                <w:sz w:val="20"/>
                <w:szCs w:val="20"/>
              </w:rPr>
              <w:t>Housekeeping</w:t>
            </w:r>
            <w:r w:rsidRPr="000C1196" w:rsidR="000C1196">
              <w:rPr>
                <w:rFonts w:cs="Arial"/>
                <w:sz w:val="20"/>
                <w:szCs w:val="20"/>
              </w:rPr>
              <w:t>, May 2025</w:t>
            </w:r>
          </w:p>
        </w:tc>
        <w:tc>
          <w:tcPr>
            <w:tcW w:w="3488" w:type="dxa"/>
          </w:tcPr>
          <w:p w:rsidRPr="000C1196" w:rsidR="00AC5261" w:rsidP="00CD198A" w:rsidRDefault="00AC5261" w14:paraId="47D29836" w14:textId="34BA6BC7">
            <w:pPr>
              <w:rPr>
                <w:rFonts w:cs="Arial"/>
                <w:sz w:val="20"/>
                <w:szCs w:val="20"/>
              </w:rPr>
            </w:pPr>
            <w:r w:rsidRPr="000C1196">
              <w:rPr>
                <w:rFonts w:cs="Arial"/>
                <w:sz w:val="20"/>
                <w:szCs w:val="20"/>
              </w:rPr>
              <w:t>Migrated to new template</w:t>
            </w:r>
          </w:p>
        </w:tc>
      </w:tr>
      <w:tr w:rsidR="00AC5261" w:rsidTr="000C1196" w14:paraId="70FDB52A" w14:textId="77777777">
        <w:tc>
          <w:tcPr>
            <w:tcW w:w="980" w:type="dxa"/>
          </w:tcPr>
          <w:p w:rsidRPr="000C1196" w:rsidR="00AC5261" w:rsidP="00CD198A" w:rsidRDefault="00AC5261" w14:paraId="4E00C3FD" w14:textId="69DA569E">
            <w:pPr>
              <w:rPr>
                <w:rFonts w:cs="Arial"/>
                <w:sz w:val="20"/>
                <w:szCs w:val="20"/>
              </w:rPr>
            </w:pPr>
            <w:r w:rsidRPr="000C1196">
              <w:rPr>
                <w:rFonts w:cs="Arial"/>
                <w:sz w:val="20"/>
                <w:szCs w:val="20"/>
              </w:rPr>
              <w:t>4 05</w:t>
            </w:r>
          </w:p>
        </w:tc>
        <w:tc>
          <w:tcPr>
            <w:tcW w:w="2862" w:type="dxa"/>
          </w:tcPr>
          <w:p w:rsidRPr="000C1196" w:rsidR="00AC5261" w:rsidP="00CD198A" w:rsidRDefault="00AC5261" w14:paraId="0E6B9056" w14:textId="602E4357">
            <w:pPr>
              <w:rPr>
                <w:rFonts w:cs="Arial"/>
                <w:sz w:val="20"/>
                <w:szCs w:val="20"/>
              </w:rPr>
            </w:pPr>
            <w:r w:rsidRPr="000C1196">
              <w:rPr>
                <w:rFonts w:cs="Arial"/>
                <w:sz w:val="20"/>
                <w:szCs w:val="20"/>
              </w:rPr>
              <w:t>Quality Manager</w:t>
            </w:r>
          </w:p>
        </w:tc>
        <w:tc>
          <w:tcPr>
            <w:tcW w:w="1686" w:type="dxa"/>
          </w:tcPr>
          <w:p w:rsidRPr="000C1196" w:rsidR="00AC5261" w:rsidP="00CD198A" w:rsidRDefault="00AC5261" w14:paraId="4F8CFB66" w14:textId="26C5D8BD">
            <w:pPr>
              <w:rPr>
                <w:rFonts w:cs="Arial"/>
                <w:sz w:val="20"/>
                <w:szCs w:val="20"/>
              </w:rPr>
            </w:pPr>
            <w:r w:rsidRPr="000C1196">
              <w:rPr>
                <w:rFonts w:cs="Arial"/>
                <w:sz w:val="20"/>
                <w:szCs w:val="20"/>
              </w:rPr>
              <w:t>Housekeeping</w:t>
            </w:r>
            <w:r w:rsidR="001A793A">
              <w:rPr>
                <w:rFonts w:cs="Arial"/>
                <w:sz w:val="20"/>
                <w:szCs w:val="20"/>
              </w:rPr>
              <w:t>, Jan 2022</w:t>
            </w:r>
          </w:p>
        </w:tc>
        <w:tc>
          <w:tcPr>
            <w:tcW w:w="3488" w:type="dxa"/>
          </w:tcPr>
          <w:p w:rsidRPr="000C1196" w:rsidR="00AC5261" w:rsidP="00CD198A" w:rsidRDefault="00AC5261" w14:paraId="6E954ED2" w14:textId="77777777">
            <w:pPr>
              <w:rPr>
                <w:rFonts w:cs="Arial"/>
                <w:sz w:val="20"/>
                <w:szCs w:val="20"/>
              </w:rPr>
            </w:pPr>
            <w:r w:rsidRPr="000C1196">
              <w:rPr>
                <w:rFonts w:cs="Arial"/>
                <w:sz w:val="20"/>
                <w:szCs w:val="20"/>
              </w:rPr>
              <w:t>Migrated to new template</w:t>
            </w:r>
          </w:p>
        </w:tc>
      </w:tr>
      <w:tr w:rsidR="000C1196" w:rsidTr="000C1196" w14:paraId="268578DA" w14:textId="77777777">
        <w:tc>
          <w:tcPr>
            <w:tcW w:w="980" w:type="dxa"/>
          </w:tcPr>
          <w:p w:rsidRPr="000C1196" w:rsidR="000C1196" w:rsidP="000C1196" w:rsidRDefault="000C1196" w14:paraId="501BF53B" w14:textId="0A657BA7">
            <w:pPr>
              <w:rPr>
                <w:rFonts w:cs="Arial"/>
                <w:sz w:val="20"/>
                <w:szCs w:val="20"/>
              </w:rPr>
            </w:pPr>
            <w:r w:rsidRPr="000C1196">
              <w:rPr>
                <w:rFonts w:cs="Arial"/>
                <w:sz w:val="20"/>
                <w:szCs w:val="20"/>
              </w:rPr>
              <w:t xml:space="preserve">4 04 </w:t>
            </w:r>
          </w:p>
        </w:tc>
        <w:tc>
          <w:tcPr>
            <w:tcW w:w="2862" w:type="dxa"/>
          </w:tcPr>
          <w:p w:rsidRPr="000C1196" w:rsidR="000C1196" w:rsidP="000C1196" w:rsidRDefault="000C1196" w14:paraId="5B9BC4B4" w14:textId="14B2939A">
            <w:pPr>
              <w:rPr>
                <w:rFonts w:cs="Arial"/>
                <w:sz w:val="20"/>
                <w:szCs w:val="20"/>
              </w:rPr>
            </w:pPr>
            <w:r w:rsidRPr="000C1196">
              <w:rPr>
                <w:rFonts w:cs="Arial"/>
                <w:sz w:val="20"/>
                <w:szCs w:val="20"/>
              </w:rPr>
              <w:t>Quality Manager</w:t>
            </w:r>
          </w:p>
        </w:tc>
        <w:tc>
          <w:tcPr>
            <w:tcW w:w="1686" w:type="dxa"/>
          </w:tcPr>
          <w:p w:rsidRPr="000C1196" w:rsidR="000C1196" w:rsidP="000C1196" w:rsidRDefault="000C1196" w14:paraId="01D6194B" w14:textId="373650D6">
            <w:pPr>
              <w:rPr>
                <w:rFonts w:cs="Arial"/>
                <w:sz w:val="20"/>
                <w:szCs w:val="20"/>
              </w:rPr>
            </w:pPr>
            <w:r w:rsidRPr="000C1196">
              <w:rPr>
                <w:rFonts w:cs="Arial"/>
                <w:sz w:val="20"/>
                <w:szCs w:val="20"/>
              </w:rPr>
              <w:t>Housekeeping, Oct 2019</w:t>
            </w:r>
          </w:p>
        </w:tc>
        <w:tc>
          <w:tcPr>
            <w:tcW w:w="3488" w:type="dxa"/>
          </w:tcPr>
          <w:p w:rsidRPr="000C1196" w:rsidR="000C1196" w:rsidP="000C1196" w:rsidRDefault="000C1196" w14:paraId="0D94F4F1" w14:textId="522E9479">
            <w:pPr>
              <w:rPr>
                <w:rFonts w:cs="Arial"/>
                <w:sz w:val="20"/>
                <w:szCs w:val="20"/>
              </w:rPr>
            </w:pPr>
            <w:r w:rsidRPr="000C1196">
              <w:rPr>
                <w:rFonts w:cs="Arial"/>
                <w:sz w:val="20"/>
                <w:szCs w:val="20"/>
              </w:rPr>
              <w:t>Updated to reflect new committee structure.</w:t>
            </w:r>
          </w:p>
        </w:tc>
      </w:tr>
      <w:tr w:rsidR="000C1196" w:rsidTr="000C1196" w14:paraId="39DE0AFF" w14:textId="77777777">
        <w:tc>
          <w:tcPr>
            <w:tcW w:w="980" w:type="dxa"/>
          </w:tcPr>
          <w:p w:rsidRPr="000C1196" w:rsidR="000C1196" w:rsidP="000C1196" w:rsidRDefault="000C1196" w14:paraId="697A0F9F" w14:textId="65546EE1">
            <w:pPr>
              <w:rPr>
                <w:rFonts w:cs="Arial"/>
                <w:sz w:val="20"/>
                <w:szCs w:val="20"/>
              </w:rPr>
            </w:pPr>
            <w:r w:rsidRPr="000C1196">
              <w:rPr>
                <w:rFonts w:cs="Arial"/>
                <w:sz w:val="20"/>
                <w:szCs w:val="20"/>
              </w:rPr>
              <w:t>4 03</w:t>
            </w:r>
          </w:p>
        </w:tc>
        <w:tc>
          <w:tcPr>
            <w:tcW w:w="2862" w:type="dxa"/>
          </w:tcPr>
          <w:p w:rsidRPr="000C1196" w:rsidR="000C1196" w:rsidP="000C1196" w:rsidRDefault="000C1196" w14:paraId="0AB62B18" w14:textId="09B07EEE">
            <w:pPr>
              <w:rPr>
                <w:rFonts w:cs="Arial"/>
                <w:sz w:val="20"/>
                <w:szCs w:val="20"/>
              </w:rPr>
            </w:pPr>
            <w:r w:rsidRPr="000C1196">
              <w:rPr>
                <w:rFonts w:cs="Arial"/>
                <w:sz w:val="20"/>
                <w:szCs w:val="20"/>
              </w:rPr>
              <w:t>Quality Manager</w:t>
            </w:r>
          </w:p>
        </w:tc>
        <w:tc>
          <w:tcPr>
            <w:tcW w:w="1686" w:type="dxa"/>
          </w:tcPr>
          <w:p w:rsidRPr="000C1196" w:rsidR="000C1196" w:rsidP="000C1196" w:rsidRDefault="000C1196" w14:paraId="099FF384" w14:textId="1805B4E8">
            <w:pPr>
              <w:rPr>
                <w:rFonts w:cs="Arial"/>
                <w:sz w:val="20"/>
                <w:szCs w:val="20"/>
              </w:rPr>
            </w:pPr>
            <w:r w:rsidRPr="000C1196">
              <w:rPr>
                <w:rFonts w:cs="Arial"/>
                <w:sz w:val="20"/>
                <w:szCs w:val="20"/>
              </w:rPr>
              <w:t>Housekeeping, April 2018</w:t>
            </w:r>
          </w:p>
        </w:tc>
        <w:tc>
          <w:tcPr>
            <w:tcW w:w="3488" w:type="dxa"/>
          </w:tcPr>
          <w:p w:rsidRPr="000C1196" w:rsidR="000C1196" w:rsidP="000C1196" w:rsidRDefault="000C1196" w14:paraId="584DC07B" w14:textId="2C85F52C">
            <w:pPr>
              <w:rPr>
                <w:rFonts w:cs="Arial"/>
                <w:sz w:val="20"/>
                <w:szCs w:val="20"/>
              </w:rPr>
            </w:pPr>
            <w:r w:rsidRPr="000C1196">
              <w:rPr>
                <w:rFonts w:cs="Arial"/>
                <w:sz w:val="20"/>
                <w:szCs w:val="20"/>
              </w:rPr>
              <w:t>Replaces Learning Enhancement and Academic Practice (LEAP) with Learning and Teaching Enhancement (LTE)</w:t>
            </w:r>
          </w:p>
        </w:tc>
      </w:tr>
      <w:tr w:rsidR="000C1196" w:rsidTr="000C1196" w14:paraId="246EE0F9" w14:textId="77777777">
        <w:tc>
          <w:tcPr>
            <w:tcW w:w="980" w:type="dxa"/>
          </w:tcPr>
          <w:p w:rsidRPr="000C1196" w:rsidR="000C1196" w:rsidP="000C1196" w:rsidRDefault="000C1196" w14:paraId="1658AA16" w14:textId="3BA19C44">
            <w:pPr>
              <w:rPr>
                <w:rFonts w:cs="Arial"/>
                <w:sz w:val="20"/>
                <w:szCs w:val="20"/>
              </w:rPr>
            </w:pPr>
            <w:r w:rsidRPr="000C1196">
              <w:rPr>
                <w:rFonts w:cs="Arial"/>
                <w:sz w:val="20"/>
                <w:szCs w:val="20"/>
              </w:rPr>
              <w:t>4 02</w:t>
            </w:r>
          </w:p>
        </w:tc>
        <w:tc>
          <w:tcPr>
            <w:tcW w:w="2862" w:type="dxa"/>
          </w:tcPr>
          <w:p w:rsidRPr="000C1196" w:rsidR="000C1196" w:rsidP="000C1196" w:rsidRDefault="000C1196" w14:paraId="6281D27A" w14:textId="2B19F915">
            <w:pPr>
              <w:rPr>
                <w:rFonts w:cs="Arial"/>
                <w:sz w:val="20"/>
                <w:szCs w:val="20"/>
              </w:rPr>
            </w:pPr>
            <w:r w:rsidRPr="000C1196">
              <w:rPr>
                <w:rFonts w:cs="Arial"/>
                <w:sz w:val="20"/>
                <w:szCs w:val="20"/>
              </w:rPr>
              <w:t>Quality Manager</w:t>
            </w:r>
          </w:p>
        </w:tc>
        <w:tc>
          <w:tcPr>
            <w:tcW w:w="1686" w:type="dxa"/>
          </w:tcPr>
          <w:p w:rsidRPr="000C1196" w:rsidR="000C1196" w:rsidP="000C1196" w:rsidRDefault="000C1196" w14:paraId="29746CE9" w14:textId="4C0D4B60">
            <w:pPr>
              <w:rPr>
                <w:rFonts w:cs="Arial"/>
                <w:sz w:val="20"/>
                <w:szCs w:val="20"/>
              </w:rPr>
            </w:pPr>
            <w:r w:rsidRPr="000C1196">
              <w:rPr>
                <w:rFonts w:cs="Arial"/>
                <w:sz w:val="20"/>
                <w:szCs w:val="20"/>
              </w:rPr>
              <w:t>Housekeeping, Aug 2016</w:t>
            </w:r>
          </w:p>
        </w:tc>
        <w:tc>
          <w:tcPr>
            <w:tcW w:w="3488" w:type="dxa"/>
          </w:tcPr>
          <w:p w:rsidRPr="000C1196" w:rsidR="000C1196" w:rsidP="000C1196" w:rsidRDefault="000C1196" w14:paraId="428442F0" w14:textId="6A83F102">
            <w:pPr>
              <w:pStyle w:val="ListParagraph"/>
              <w:numPr>
                <w:ilvl w:val="0"/>
                <w:numId w:val="30"/>
              </w:numPr>
              <w:rPr>
                <w:rFonts w:cs="Arial"/>
                <w:bCs/>
                <w:sz w:val="20"/>
                <w:szCs w:val="20"/>
              </w:rPr>
            </w:pPr>
            <w:r w:rsidRPr="000C1196">
              <w:rPr>
                <w:rFonts w:cs="Arial"/>
                <w:bCs/>
                <w:sz w:val="20"/>
                <w:szCs w:val="20"/>
              </w:rPr>
              <w:t>Replaces Programme Approvals Committee with Programme Management Committee.</w:t>
            </w:r>
          </w:p>
          <w:p w:rsidRPr="000C1196" w:rsidR="000C1196" w:rsidP="000C1196" w:rsidRDefault="000C1196" w14:paraId="7282F145" w14:textId="2C1CDE2B">
            <w:pPr>
              <w:pStyle w:val="ListParagraph"/>
              <w:numPr>
                <w:ilvl w:val="0"/>
                <w:numId w:val="30"/>
              </w:numPr>
              <w:rPr>
                <w:rFonts w:cs="Arial"/>
                <w:bCs/>
                <w:sz w:val="20"/>
                <w:szCs w:val="20"/>
              </w:rPr>
            </w:pPr>
            <w:r w:rsidRPr="000C1196">
              <w:rPr>
                <w:rFonts w:cs="Arial"/>
                <w:bCs/>
                <w:sz w:val="20"/>
                <w:szCs w:val="20"/>
              </w:rPr>
              <w:t>Replaces department and Head of Department with school and Head of School.</w:t>
            </w:r>
          </w:p>
        </w:tc>
      </w:tr>
      <w:tr w:rsidR="000C1196" w:rsidTr="000C1196" w14:paraId="3709AF69" w14:textId="77777777">
        <w:tc>
          <w:tcPr>
            <w:tcW w:w="980" w:type="dxa"/>
          </w:tcPr>
          <w:p w:rsidRPr="000C1196" w:rsidR="000C1196" w:rsidP="000C1196" w:rsidRDefault="000C1196" w14:paraId="35BCAE65" w14:textId="071E4AE0">
            <w:pPr>
              <w:rPr>
                <w:rFonts w:cs="Arial"/>
                <w:sz w:val="20"/>
                <w:szCs w:val="20"/>
              </w:rPr>
            </w:pPr>
            <w:r w:rsidRPr="000C1196">
              <w:rPr>
                <w:rFonts w:cs="Arial"/>
                <w:sz w:val="20"/>
                <w:szCs w:val="20"/>
              </w:rPr>
              <w:t xml:space="preserve">4 01 </w:t>
            </w:r>
          </w:p>
        </w:tc>
        <w:tc>
          <w:tcPr>
            <w:tcW w:w="2862" w:type="dxa"/>
          </w:tcPr>
          <w:p w:rsidRPr="000C1196" w:rsidR="000C1196" w:rsidP="000C1196" w:rsidRDefault="000C1196" w14:paraId="227B2F3C" w14:textId="52780217">
            <w:pPr>
              <w:rPr>
                <w:rFonts w:cs="Arial"/>
                <w:sz w:val="20"/>
                <w:szCs w:val="20"/>
              </w:rPr>
            </w:pPr>
            <w:r w:rsidRPr="000C1196">
              <w:rPr>
                <w:rFonts w:cs="Arial"/>
                <w:sz w:val="20"/>
                <w:szCs w:val="20"/>
              </w:rPr>
              <w:t>Quality Manager</w:t>
            </w:r>
          </w:p>
        </w:tc>
        <w:tc>
          <w:tcPr>
            <w:tcW w:w="1686" w:type="dxa"/>
          </w:tcPr>
          <w:p w:rsidRPr="000C1196" w:rsidR="000C1196" w:rsidP="000C1196" w:rsidRDefault="000C1196" w14:paraId="6ACFE2C4" w14:textId="7FD817C3">
            <w:pPr>
              <w:rPr>
                <w:rFonts w:cs="Arial"/>
                <w:sz w:val="20"/>
                <w:szCs w:val="20"/>
              </w:rPr>
            </w:pPr>
            <w:r w:rsidRPr="000C1196">
              <w:rPr>
                <w:rFonts w:cs="Arial"/>
                <w:sz w:val="20"/>
                <w:szCs w:val="20"/>
              </w:rPr>
              <w:t>Housekeeping, Aug 2015</w:t>
            </w:r>
          </w:p>
        </w:tc>
        <w:tc>
          <w:tcPr>
            <w:tcW w:w="3488" w:type="dxa"/>
          </w:tcPr>
          <w:p w:rsidRPr="000C1196" w:rsidR="000C1196" w:rsidP="000C1196" w:rsidRDefault="000C1196" w14:paraId="6A9F2645" w14:textId="518838BF">
            <w:pPr>
              <w:pStyle w:val="ListParagraph"/>
              <w:numPr>
                <w:ilvl w:val="0"/>
                <w:numId w:val="31"/>
              </w:numPr>
              <w:jc w:val="both"/>
              <w:rPr>
                <w:rFonts w:cs="Arial"/>
                <w:sz w:val="20"/>
                <w:szCs w:val="20"/>
              </w:rPr>
            </w:pPr>
            <w:r w:rsidRPr="000C1196">
              <w:rPr>
                <w:rFonts w:cs="Arial"/>
                <w:sz w:val="20"/>
                <w:szCs w:val="20"/>
              </w:rPr>
              <w:t>Replaces CDTE with LEAP.</w:t>
            </w:r>
          </w:p>
          <w:p w:rsidRPr="000C1196" w:rsidR="000C1196" w:rsidP="000C1196" w:rsidRDefault="000C1196" w14:paraId="443B6E77" w14:textId="301FDDAE">
            <w:pPr>
              <w:pStyle w:val="ListParagraph"/>
              <w:numPr>
                <w:ilvl w:val="0"/>
                <w:numId w:val="31"/>
              </w:numPr>
              <w:jc w:val="both"/>
              <w:rPr>
                <w:rFonts w:cs="Arial"/>
                <w:sz w:val="20"/>
                <w:szCs w:val="20"/>
              </w:rPr>
            </w:pPr>
            <w:r w:rsidRPr="000C1196">
              <w:rPr>
                <w:rFonts w:cs="Arial"/>
                <w:sz w:val="20"/>
                <w:szCs w:val="20"/>
              </w:rPr>
              <w:t>Updates references to annexes.</w:t>
            </w:r>
          </w:p>
        </w:tc>
      </w:tr>
      <w:tr w:rsidR="000C1196" w:rsidTr="000C1196" w14:paraId="0398D813" w14:textId="77777777">
        <w:tc>
          <w:tcPr>
            <w:tcW w:w="980" w:type="dxa"/>
          </w:tcPr>
          <w:p w:rsidRPr="000C1196" w:rsidR="000C1196" w:rsidP="000C1196" w:rsidRDefault="000C1196" w14:paraId="31DF0FC2" w14:textId="5CC2CE8F">
            <w:pPr>
              <w:rPr>
                <w:rFonts w:cs="Arial"/>
                <w:sz w:val="20"/>
                <w:szCs w:val="20"/>
              </w:rPr>
            </w:pPr>
            <w:r w:rsidRPr="000C1196">
              <w:rPr>
                <w:rFonts w:cs="Arial"/>
                <w:sz w:val="20"/>
                <w:szCs w:val="20"/>
              </w:rPr>
              <w:t>4 00</w:t>
            </w:r>
          </w:p>
        </w:tc>
        <w:tc>
          <w:tcPr>
            <w:tcW w:w="2862" w:type="dxa"/>
          </w:tcPr>
          <w:p w:rsidRPr="000C1196" w:rsidR="000C1196" w:rsidP="000C1196" w:rsidRDefault="000C1196" w14:paraId="556C5C51" w14:textId="33D03444">
            <w:pPr>
              <w:rPr>
                <w:rFonts w:cs="Arial"/>
                <w:sz w:val="20"/>
                <w:szCs w:val="20"/>
              </w:rPr>
            </w:pPr>
            <w:r w:rsidRPr="000C1196">
              <w:rPr>
                <w:rFonts w:cs="Arial"/>
                <w:sz w:val="20"/>
                <w:szCs w:val="20"/>
              </w:rPr>
              <w:t>Quality Manager</w:t>
            </w:r>
          </w:p>
        </w:tc>
        <w:tc>
          <w:tcPr>
            <w:tcW w:w="1686" w:type="dxa"/>
          </w:tcPr>
          <w:p w:rsidRPr="000C1196" w:rsidR="000C1196" w:rsidP="000C1196" w:rsidRDefault="000C1196" w14:paraId="391E7D45" w14:textId="0958F529">
            <w:pPr>
              <w:rPr>
                <w:rFonts w:cs="Arial"/>
                <w:sz w:val="20"/>
                <w:szCs w:val="20"/>
              </w:rPr>
            </w:pPr>
            <w:r w:rsidRPr="000C1196">
              <w:rPr>
                <w:rFonts w:cs="Arial"/>
                <w:sz w:val="20"/>
                <w:szCs w:val="20"/>
              </w:rPr>
              <w:t>Housekeeping</w:t>
            </w:r>
            <w:r>
              <w:rPr>
                <w:rFonts w:cs="Arial"/>
                <w:sz w:val="20"/>
                <w:szCs w:val="20"/>
              </w:rPr>
              <w:t>, Nov 2013</w:t>
            </w:r>
          </w:p>
        </w:tc>
        <w:tc>
          <w:tcPr>
            <w:tcW w:w="3488" w:type="dxa"/>
          </w:tcPr>
          <w:p w:rsidR="000C1196" w:rsidP="000C1196" w:rsidRDefault="000C1196" w14:paraId="0F95EABF" w14:textId="77777777">
            <w:pPr>
              <w:pStyle w:val="ListParagraph"/>
              <w:numPr>
                <w:ilvl w:val="0"/>
                <w:numId w:val="32"/>
              </w:numPr>
              <w:rPr>
                <w:rFonts w:cs="Arial"/>
                <w:sz w:val="20"/>
                <w:szCs w:val="20"/>
              </w:rPr>
            </w:pPr>
            <w:r w:rsidRPr="000C1196">
              <w:rPr>
                <w:rFonts w:cs="Arial"/>
                <w:sz w:val="20"/>
                <w:szCs w:val="20"/>
              </w:rPr>
              <w:t xml:space="preserve">Reflects changes concomitant with </w:t>
            </w:r>
            <w:proofErr w:type="gramStart"/>
            <w:r w:rsidRPr="000C1196">
              <w:rPr>
                <w:rFonts w:cs="Arial"/>
                <w:sz w:val="20"/>
                <w:szCs w:val="20"/>
              </w:rPr>
              <w:t>QH:G</w:t>
            </w:r>
            <w:proofErr w:type="gramEnd"/>
            <w:r w:rsidRPr="000C1196">
              <w:rPr>
                <w:rFonts w:cs="Arial"/>
                <w:sz w:val="20"/>
                <w:szCs w:val="20"/>
              </w:rPr>
              <w:t>1 version 4 02</w:t>
            </w:r>
            <w:r>
              <w:rPr>
                <w:rFonts w:cs="Arial"/>
                <w:sz w:val="20"/>
                <w:szCs w:val="20"/>
              </w:rPr>
              <w:t>.</w:t>
            </w:r>
          </w:p>
          <w:p w:rsidRPr="000C1196" w:rsidR="000C1196" w:rsidP="000C1196" w:rsidRDefault="000C1196" w14:paraId="61B8A4D8" w14:textId="055B4B33">
            <w:pPr>
              <w:pStyle w:val="ListParagraph"/>
              <w:numPr>
                <w:ilvl w:val="0"/>
                <w:numId w:val="32"/>
              </w:numPr>
              <w:rPr>
                <w:rFonts w:cs="Arial"/>
                <w:sz w:val="20"/>
                <w:szCs w:val="20"/>
              </w:rPr>
            </w:pPr>
            <w:r w:rsidRPr="000C1196">
              <w:rPr>
                <w:rFonts w:cs="Arial"/>
                <w:sz w:val="20"/>
                <w:szCs w:val="20"/>
              </w:rPr>
              <w:t>Removes distinction between on campus and collaborative provision amendments</w:t>
            </w:r>
            <w:r>
              <w:rPr>
                <w:rFonts w:cs="Arial"/>
                <w:sz w:val="20"/>
                <w:szCs w:val="20"/>
              </w:rPr>
              <w:t>.</w:t>
            </w:r>
          </w:p>
        </w:tc>
      </w:tr>
      <w:tr w:rsidR="000C1196" w:rsidTr="000C1196" w14:paraId="407A65E4" w14:textId="77777777">
        <w:tc>
          <w:tcPr>
            <w:tcW w:w="980" w:type="dxa"/>
          </w:tcPr>
          <w:p w:rsidRPr="000C1196" w:rsidR="000C1196" w:rsidP="000C1196" w:rsidRDefault="000C1196" w14:paraId="3B442674" w14:textId="2A1CFB86">
            <w:pPr>
              <w:rPr>
                <w:rFonts w:cs="Arial"/>
                <w:sz w:val="20"/>
                <w:szCs w:val="20"/>
              </w:rPr>
            </w:pPr>
            <w:bookmarkStart w:name="_Hlk197610571" w:id="17"/>
            <w:r>
              <w:rPr>
                <w:rFonts w:cs="Arial"/>
                <w:sz w:val="20"/>
                <w:szCs w:val="20"/>
              </w:rPr>
              <w:t>3 02</w:t>
            </w:r>
          </w:p>
        </w:tc>
        <w:tc>
          <w:tcPr>
            <w:tcW w:w="2862" w:type="dxa"/>
          </w:tcPr>
          <w:p w:rsidRPr="000C1196" w:rsidR="000C1196" w:rsidP="000C1196" w:rsidRDefault="000C1196" w14:paraId="40840436" w14:textId="3FB05C46">
            <w:pPr>
              <w:rPr>
                <w:rFonts w:cs="Arial"/>
                <w:sz w:val="20"/>
                <w:szCs w:val="20"/>
              </w:rPr>
            </w:pPr>
            <w:r>
              <w:rPr>
                <w:rFonts w:cs="Arial"/>
                <w:sz w:val="20"/>
                <w:szCs w:val="20"/>
              </w:rPr>
              <w:t>Quality Officer</w:t>
            </w:r>
          </w:p>
        </w:tc>
        <w:tc>
          <w:tcPr>
            <w:tcW w:w="1686" w:type="dxa"/>
          </w:tcPr>
          <w:p w:rsidRPr="000C1196" w:rsidR="000C1196" w:rsidP="000C1196" w:rsidRDefault="000C1196" w14:paraId="23A25DD1" w14:textId="045F60C2">
            <w:pPr>
              <w:rPr>
                <w:rFonts w:cs="Arial"/>
                <w:sz w:val="20"/>
                <w:szCs w:val="20"/>
              </w:rPr>
            </w:pPr>
            <w:r>
              <w:rPr>
                <w:rFonts w:cs="Arial"/>
                <w:sz w:val="20"/>
                <w:szCs w:val="20"/>
              </w:rPr>
              <w:t>ULTAC, Feb 2011</w:t>
            </w:r>
          </w:p>
        </w:tc>
        <w:tc>
          <w:tcPr>
            <w:tcW w:w="3488" w:type="dxa"/>
          </w:tcPr>
          <w:p w:rsidR="000C1196" w:rsidP="000C1196" w:rsidRDefault="000C1196" w14:paraId="11379AD6" w14:textId="77777777">
            <w:pPr>
              <w:pStyle w:val="ListParagraph"/>
              <w:numPr>
                <w:ilvl w:val="0"/>
                <w:numId w:val="33"/>
              </w:numPr>
              <w:rPr>
                <w:rFonts w:cs="Arial"/>
                <w:sz w:val="20"/>
                <w:szCs w:val="20"/>
              </w:rPr>
            </w:pPr>
            <w:r w:rsidRPr="000C1196">
              <w:rPr>
                <w:rFonts w:cs="Arial"/>
                <w:sz w:val="20"/>
                <w:szCs w:val="20"/>
              </w:rPr>
              <w:t>Succession of PAMEC by PAC and QSC by ULTAC</w:t>
            </w:r>
            <w:r>
              <w:rPr>
                <w:rFonts w:cs="Arial"/>
                <w:sz w:val="20"/>
                <w:szCs w:val="20"/>
              </w:rPr>
              <w:t>.</w:t>
            </w:r>
          </w:p>
          <w:p w:rsidR="000C1196" w:rsidP="000C1196" w:rsidRDefault="000C1196" w14:paraId="7D9CEDEF" w14:textId="77777777">
            <w:pPr>
              <w:pStyle w:val="ListParagraph"/>
              <w:numPr>
                <w:ilvl w:val="0"/>
                <w:numId w:val="33"/>
              </w:numPr>
              <w:rPr>
                <w:rFonts w:cs="Arial"/>
                <w:sz w:val="20"/>
                <w:szCs w:val="20"/>
              </w:rPr>
            </w:pPr>
            <w:r w:rsidRPr="000C1196">
              <w:rPr>
                <w:rFonts w:cs="Arial"/>
                <w:sz w:val="20"/>
                <w:szCs w:val="20"/>
              </w:rPr>
              <w:t>FAPs now recommend their decision to PAC rather than approve new programmes</w:t>
            </w:r>
            <w:r>
              <w:rPr>
                <w:rFonts w:cs="Arial"/>
                <w:sz w:val="20"/>
                <w:szCs w:val="20"/>
              </w:rPr>
              <w:t>.</w:t>
            </w:r>
          </w:p>
          <w:p w:rsidR="000C1196" w:rsidP="000C1196" w:rsidRDefault="000C1196" w14:paraId="6BD75398" w14:textId="77777777">
            <w:pPr>
              <w:pStyle w:val="ListParagraph"/>
              <w:numPr>
                <w:ilvl w:val="0"/>
                <w:numId w:val="33"/>
              </w:numPr>
              <w:rPr>
                <w:rFonts w:cs="Arial"/>
                <w:sz w:val="20"/>
                <w:szCs w:val="20"/>
              </w:rPr>
            </w:pPr>
            <w:r w:rsidRPr="000C1196">
              <w:rPr>
                <w:rFonts w:cs="Arial"/>
                <w:sz w:val="20"/>
                <w:szCs w:val="20"/>
              </w:rPr>
              <w:t>Broadens the pool of staff who may Chair FAPs</w:t>
            </w:r>
            <w:r>
              <w:rPr>
                <w:rFonts w:cs="Arial"/>
                <w:sz w:val="20"/>
                <w:szCs w:val="20"/>
              </w:rPr>
              <w:t>.</w:t>
            </w:r>
          </w:p>
          <w:p w:rsidR="000C1196" w:rsidP="000C1196" w:rsidRDefault="000C1196" w14:paraId="2F1E4467" w14:textId="77777777">
            <w:pPr>
              <w:pStyle w:val="ListParagraph"/>
              <w:numPr>
                <w:ilvl w:val="0"/>
                <w:numId w:val="33"/>
              </w:numPr>
              <w:rPr>
                <w:rFonts w:cs="Arial"/>
                <w:sz w:val="20"/>
                <w:szCs w:val="20"/>
              </w:rPr>
            </w:pPr>
            <w:r w:rsidRPr="000C1196">
              <w:rPr>
                <w:rFonts w:cs="Arial"/>
                <w:sz w:val="20"/>
                <w:szCs w:val="20"/>
              </w:rPr>
              <w:t>Acknowledges the replacement of Academic Board with Senate Executive Board</w:t>
            </w:r>
            <w:r>
              <w:rPr>
                <w:rFonts w:cs="Arial"/>
                <w:sz w:val="20"/>
                <w:szCs w:val="20"/>
              </w:rPr>
              <w:t>.</w:t>
            </w:r>
          </w:p>
          <w:p w:rsidRPr="000C1196" w:rsidR="000C1196" w:rsidP="000C1196" w:rsidRDefault="000C1196" w14:paraId="26F5D85E" w14:textId="3732FE15">
            <w:pPr>
              <w:pStyle w:val="ListParagraph"/>
              <w:numPr>
                <w:ilvl w:val="0"/>
                <w:numId w:val="33"/>
              </w:numPr>
              <w:rPr>
                <w:rFonts w:cs="Arial"/>
                <w:sz w:val="20"/>
                <w:szCs w:val="20"/>
              </w:rPr>
            </w:pPr>
            <w:r w:rsidRPr="000C1196">
              <w:rPr>
                <w:rFonts w:cs="Arial"/>
                <w:sz w:val="20"/>
                <w:szCs w:val="20"/>
              </w:rPr>
              <w:t>That programmes needing to meet conditions do so within three weeks of the PPC and/or FAP or approval may lapse</w:t>
            </w:r>
            <w:r>
              <w:rPr>
                <w:rFonts w:cs="Arial"/>
                <w:sz w:val="20"/>
                <w:szCs w:val="20"/>
              </w:rPr>
              <w:t>.</w:t>
            </w:r>
          </w:p>
        </w:tc>
      </w:tr>
      <w:tr w:rsidR="000C1196" w:rsidTr="000C1196" w14:paraId="379CF309" w14:textId="77777777">
        <w:tc>
          <w:tcPr>
            <w:tcW w:w="980" w:type="dxa"/>
          </w:tcPr>
          <w:p w:rsidRPr="000C1196" w:rsidR="000C1196" w:rsidP="000C1196" w:rsidRDefault="000C1196" w14:paraId="5F8803D7" w14:textId="7703E0A3">
            <w:pPr>
              <w:rPr>
                <w:rFonts w:cs="Arial"/>
                <w:sz w:val="20"/>
                <w:szCs w:val="20"/>
              </w:rPr>
            </w:pPr>
            <w:r>
              <w:rPr>
                <w:rFonts w:cs="Arial"/>
                <w:sz w:val="20"/>
                <w:szCs w:val="20"/>
              </w:rPr>
              <w:t>3 01</w:t>
            </w:r>
          </w:p>
        </w:tc>
        <w:tc>
          <w:tcPr>
            <w:tcW w:w="2862" w:type="dxa"/>
          </w:tcPr>
          <w:p w:rsidRPr="000C1196" w:rsidR="000C1196" w:rsidP="000C1196" w:rsidRDefault="000C1196" w14:paraId="00084B57" w14:textId="3259D3E0">
            <w:pPr>
              <w:rPr>
                <w:rFonts w:cs="Arial"/>
                <w:sz w:val="20"/>
                <w:szCs w:val="20"/>
              </w:rPr>
            </w:pPr>
            <w:r w:rsidRPr="000C1196">
              <w:rPr>
                <w:rFonts w:cs="Arial"/>
                <w:sz w:val="20"/>
                <w:szCs w:val="20"/>
              </w:rPr>
              <w:t xml:space="preserve">Quality </w:t>
            </w:r>
            <w:r>
              <w:rPr>
                <w:rFonts w:cs="Arial"/>
                <w:sz w:val="20"/>
                <w:szCs w:val="20"/>
              </w:rPr>
              <w:t>Officer</w:t>
            </w:r>
          </w:p>
        </w:tc>
        <w:tc>
          <w:tcPr>
            <w:tcW w:w="1686" w:type="dxa"/>
          </w:tcPr>
          <w:p w:rsidRPr="000C1196" w:rsidR="000C1196" w:rsidP="000C1196" w:rsidRDefault="000C1196" w14:paraId="593F0239" w14:textId="24D7FC31">
            <w:pPr>
              <w:rPr>
                <w:rFonts w:cs="Arial"/>
                <w:sz w:val="20"/>
                <w:szCs w:val="20"/>
              </w:rPr>
            </w:pPr>
            <w:r w:rsidRPr="000C1196">
              <w:rPr>
                <w:rFonts w:cs="Arial"/>
                <w:sz w:val="20"/>
                <w:szCs w:val="20"/>
              </w:rPr>
              <w:t>Housekeeping</w:t>
            </w:r>
            <w:r>
              <w:rPr>
                <w:rFonts w:cs="Arial"/>
                <w:sz w:val="20"/>
                <w:szCs w:val="20"/>
              </w:rPr>
              <w:t>, July 2009</w:t>
            </w:r>
          </w:p>
        </w:tc>
        <w:tc>
          <w:tcPr>
            <w:tcW w:w="3488" w:type="dxa"/>
          </w:tcPr>
          <w:p w:rsidRPr="000C1196" w:rsidR="000C1196" w:rsidP="000C1196" w:rsidRDefault="000C1196" w14:paraId="614538B2" w14:textId="6EE47440">
            <w:pPr>
              <w:rPr>
                <w:rFonts w:cs="Arial"/>
                <w:sz w:val="20"/>
                <w:szCs w:val="20"/>
              </w:rPr>
            </w:pPr>
            <w:r>
              <w:rPr>
                <w:rFonts w:cs="Arial"/>
                <w:sz w:val="20"/>
                <w:szCs w:val="20"/>
              </w:rPr>
              <w:t>R</w:t>
            </w:r>
            <w:r w:rsidRPr="000C1196">
              <w:rPr>
                <w:rFonts w:cs="Arial"/>
                <w:sz w:val="20"/>
                <w:szCs w:val="20"/>
              </w:rPr>
              <w:t>eflect change to Committees such as the removal of Academic Board and those duties being referred to the PVC (L&amp;T)</w:t>
            </w:r>
            <w:r>
              <w:rPr>
                <w:rFonts w:cs="Arial"/>
                <w:sz w:val="20"/>
                <w:szCs w:val="20"/>
              </w:rPr>
              <w:t>.</w:t>
            </w:r>
          </w:p>
        </w:tc>
      </w:tr>
      <w:bookmarkEnd w:id="17"/>
      <w:tr w:rsidR="000C1196" w:rsidTr="000C1196" w14:paraId="3BD51424" w14:textId="77777777">
        <w:tc>
          <w:tcPr>
            <w:tcW w:w="980" w:type="dxa"/>
          </w:tcPr>
          <w:p w:rsidRPr="000C1196" w:rsidR="000C1196" w:rsidP="00446D34" w:rsidRDefault="000C1196" w14:paraId="0BA2C22C" w14:textId="012DBC83">
            <w:pPr>
              <w:rPr>
                <w:rFonts w:cs="Arial"/>
                <w:sz w:val="20"/>
                <w:szCs w:val="20"/>
              </w:rPr>
            </w:pPr>
            <w:r>
              <w:rPr>
                <w:rFonts w:cs="Arial"/>
                <w:sz w:val="20"/>
                <w:szCs w:val="20"/>
              </w:rPr>
              <w:t>3 00</w:t>
            </w:r>
          </w:p>
        </w:tc>
        <w:tc>
          <w:tcPr>
            <w:tcW w:w="2862" w:type="dxa"/>
          </w:tcPr>
          <w:p w:rsidRPr="000C1196" w:rsidR="000C1196" w:rsidP="00446D34" w:rsidRDefault="000C1196" w14:paraId="7DFFC47C" w14:textId="523ECB93">
            <w:pPr>
              <w:rPr>
                <w:rFonts w:cs="Arial"/>
                <w:sz w:val="20"/>
                <w:szCs w:val="20"/>
              </w:rPr>
            </w:pPr>
            <w:r w:rsidRPr="000C1196">
              <w:rPr>
                <w:rFonts w:cs="Arial"/>
                <w:sz w:val="20"/>
                <w:szCs w:val="20"/>
              </w:rPr>
              <w:t>Quality Officer</w:t>
            </w:r>
          </w:p>
        </w:tc>
        <w:tc>
          <w:tcPr>
            <w:tcW w:w="1686" w:type="dxa"/>
          </w:tcPr>
          <w:p w:rsidRPr="000C1196" w:rsidR="000C1196" w:rsidP="00446D34" w:rsidRDefault="000C1196" w14:paraId="5821B338" w14:textId="65000BB7">
            <w:pPr>
              <w:rPr>
                <w:rFonts w:cs="Arial"/>
                <w:sz w:val="20"/>
                <w:szCs w:val="20"/>
              </w:rPr>
            </w:pPr>
            <w:r>
              <w:rPr>
                <w:rFonts w:cs="Arial"/>
                <w:sz w:val="20"/>
                <w:szCs w:val="20"/>
              </w:rPr>
              <w:t>ULTAC, Nov 2007</w:t>
            </w:r>
          </w:p>
        </w:tc>
        <w:tc>
          <w:tcPr>
            <w:tcW w:w="3488" w:type="dxa"/>
          </w:tcPr>
          <w:p w:rsidRPr="000C1196" w:rsidR="000C1196" w:rsidP="00446D34" w:rsidRDefault="000C1196" w14:paraId="1FE55405" w14:textId="3C03EAFE">
            <w:pPr>
              <w:rPr>
                <w:rFonts w:cs="Arial"/>
                <w:sz w:val="20"/>
                <w:szCs w:val="20"/>
              </w:rPr>
            </w:pPr>
            <w:r>
              <w:rPr>
                <w:rFonts w:cs="Arial"/>
                <w:sz w:val="20"/>
                <w:szCs w:val="20"/>
              </w:rPr>
              <w:t>G</w:t>
            </w:r>
            <w:r w:rsidRPr="000C1196">
              <w:rPr>
                <w:rFonts w:cs="Arial"/>
                <w:sz w:val="20"/>
                <w:szCs w:val="20"/>
              </w:rPr>
              <w:t>ave effect to the devolution of approvals to faculties, including establishing PAMEC as the successor to AAC, and includes the devolution of the approval of free elective modules to faculties from FEP</w:t>
            </w:r>
          </w:p>
        </w:tc>
      </w:tr>
    </w:tbl>
    <w:p w:rsidRPr="00523039" w:rsidR="00523039" w:rsidP="00AC5261" w:rsidRDefault="00523039" w14:paraId="472F4E18" w14:textId="5DA7FE85">
      <w:pPr>
        <w:pStyle w:val="Heading1"/>
        <w:numPr>
          <w:ilvl w:val="0"/>
          <w:numId w:val="0"/>
        </w:numPr>
        <w:ind w:left="680" w:hanging="680"/>
      </w:pPr>
    </w:p>
    <w:p w:rsidRPr="00965E49" w:rsidR="007F5E30" w:rsidP="00532548" w:rsidRDefault="007F5E30" w14:paraId="35D2153C" w14:textId="10C478CE">
      <w:pPr>
        <w:rPr>
          <w:rFonts w:eastAsiaTheme="majorEastAsia" w:cstheme="majorBidi"/>
          <w:b/>
          <w:szCs w:val="32"/>
        </w:rPr>
      </w:pPr>
    </w:p>
    <w:sectPr w:rsidRPr="00965E49"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4D1CB859"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710A">
          <w:rPr>
            <w:color w:val="0E1647"/>
            <w:sz w:val="20"/>
            <w:szCs w:val="20"/>
          </w:rPr>
          <w:t>4 06</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C4A4A">
          <w:rPr>
            <w:color w:val="0E1647"/>
            <w:sz w:val="20"/>
            <w:szCs w:val="20"/>
          </w:rPr>
          <w:t>Education Committee - Housekeeping</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4-29T00:00:00Z">
          <w:dateFormat w:val="dd MMMM yyyy"/>
          <w:lid w:val="en-GB"/>
          <w:storeMappedDataAs w:val="dateTime"/>
          <w:calendar w:val="gregorian"/>
        </w:date>
      </w:sdtPr>
      <w:sdtEndPr>
        <w:rPr>
          <w:sz w:val="18"/>
          <w:szCs w:val="18"/>
        </w:rPr>
      </w:sdtEndPr>
      <w:sdtContent>
        <w:r w:rsidR="00A55C17">
          <w:rPr>
            <w:color w:val="0E1647"/>
            <w:sz w:val="20"/>
            <w:szCs w:val="20"/>
          </w:rPr>
          <w:t>29 April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00753A0"/>
    <w:multiLevelType w:val="hybridMultilevel"/>
    <w:tmpl w:val="B9AEF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EB0B79"/>
    <w:multiLevelType w:val="hybridMultilevel"/>
    <w:tmpl w:val="C958E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9C9057B"/>
    <w:multiLevelType w:val="hybridMultilevel"/>
    <w:tmpl w:val="E44A9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6C70B4"/>
    <w:multiLevelType w:val="hybridMultilevel"/>
    <w:tmpl w:val="1402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C5AF8"/>
    <w:multiLevelType w:val="hybridMultilevel"/>
    <w:tmpl w:val="FB9E6EF6"/>
    <w:lvl w:ilvl="0" w:tplc="0426683E">
      <w:start w:val="3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BA6FD4"/>
    <w:multiLevelType w:val="hybridMultilevel"/>
    <w:tmpl w:val="DFCE9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6"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7"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7"/>
  </w:num>
  <w:num w:numId="2" w16cid:durableId="43870287">
    <w:abstractNumId w:val="18"/>
  </w:num>
  <w:num w:numId="3" w16cid:durableId="941954303">
    <w:abstractNumId w:val="24"/>
  </w:num>
  <w:num w:numId="4" w16cid:durableId="524560203">
    <w:abstractNumId w:val="0"/>
  </w:num>
  <w:num w:numId="5" w16cid:durableId="1627469934">
    <w:abstractNumId w:val="1"/>
  </w:num>
  <w:num w:numId="6" w16cid:durableId="680661117">
    <w:abstractNumId w:val="19"/>
  </w:num>
  <w:num w:numId="7" w16cid:durableId="618489342">
    <w:abstractNumId w:val="26"/>
  </w:num>
  <w:num w:numId="8" w16cid:durableId="38600704">
    <w:abstractNumId w:val="13"/>
  </w:num>
  <w:num w:numId="9" w16cid:durableId="196748008">
    <w:abstractNumId w:val="21"/>
  </w:num>
  <w:num w:numId="10" w16cid:durableId="674041465">
    <w:abstractNumId w:val="10"/>
  </w:num>
  <w:num w:numId="11" w16cid:durableId="1829788642">
    <w:abstractNumId w:val="9"/>
  </w:num>
  <w:num w:numId="12" w16cid:durableId="1614629240">
    <w:abstractNumId w:val="5"/>
  </w:num>
  <w:num w:numId="13" w16cid:durableId="615139952">
    <w:abstractNumId w:val="27"/>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4"/>
  </w:num>
  <w:num w:numId="17" w16cid:durableId="181824227">
    <w:abstractNumId w:val="11"/>
  </w:num>
  <w:num w:numId="18" w16cid:durableId="464158055">
    <w:abstractNumId w:val="2"/>
  </w:num>
  <w:num w:numId="19" w16cid:durableId="1785808961">
    <w:abstractNumId w:val="25"/>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8"/>
  </w:num>
  <w:num w:numId="24" w16cid:durableId="2128428633">
    <w:abstractNumId w:val="6"/>
  </w:num>
  <w:num w:numId="25" w16cid:durableId="1281495573">
    <w:abstractNumId w:val="22"/>
  </w:num>
  <w:num w:numId="26" w16cid:durableId="121654258">
    <w:abstractNumId w:val="14"/>
  </w:num>
  <w:num w:numId="27" w16cid:durableId="195434652">
    <w:abstractNumId w:val="14"/>
  </w:num>
  <w:num w:numId="28" w16cid:durableId="385883887">
    <w:abstractNumId w:val="20"/>
  </w:num>
  <w:num w:numId="29" w16cid:durableId="1484466069">
    <w:abstractNumId w:val="12"/>
  </w:num>
  <w:num w:numId="30" w16cid:durableId="1658261567">
    <w:abstractNumId w:val="23"/>
  </w:num>
  <w:num w:numId="31" w16cid:durableId="581835958">
    <w:abstractNumId w:val="8"/>
  </w:num>
  <w:num w:numId="32" w16cid:durableId="23796762">
    <w:abstractNumId w:val="16"/>
  </w:num>
  <w:num w:numId="33" w16cid:durableId="686567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2A3C"/>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C1196"/>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A793A"/>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A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08A6"/>
    <w:rsid w:val="00812A45"/>
    <w:rsid w:val="00822365"/>
    <w:rsid w:val="0082393A"/>
    <w:rsid w:val="00832B78"/>
    <w:rsid w:val="00834348"/>
    <w:rsid w:val="00840F97"/>
    <w:rsid w:val="0085777E"/>
    <w:rsid w:val="0087565F"/>
    <w:rsid w:val="008812A9"/>
    <w:rsid w:val="008A24D4"/>
    <w:rsid w:val="008A4E7F"/>
    <w:rsid w:val="008A6142"/>
    <w:rsid w:val="008D4541"/>
    <w:rsid w:val="008E79B5"/>
    <w:rsid w:val="008F2463"/>
    <w:rsid w:val="008F27EA"/>
    <w:rsid w:val="008F34C8"/>
    <w:rsid w:val="00916886"/>
    <w:rsid w:val="00930FB7"/>
    <w:rsid w:val="00936E32"/>
    <w:rsid w:val="00944EE4"/>
    <w:rsid w:val="0094706A"/>
    <w:rsid w:val="009500FF"/>
    <w:rsid w:val="00955C59"/>
    <w:rsid w:val="00965E49"/>
    <w:rsid w:val="00966661"/>
    <w:rsid w:val="0096710A"/>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55C17"/>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5261"/>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D4ED9"/>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A4A"/>
    <w:rsid w:val="00EC4B8F"/>
    <w:rsid w:val="00ED07D1"/>
    <w:rsid w:val="00ED39EB"/>
    <w:rsid w:val="00EE7735"/>
    <w:rsid w:val="00EF0854"/>
    <w:rsid w:val="00EF337D"/>
    <w:rsid w:val="00F01270"/>
    <w:rsid w:val="00F026C6"/>
    <w:rsid w:val="00F065A7"/>
    <w:rsid w:val="00F10E04"/>
    <w:rsid w:val="00F24D55"/>
    <w:rsid w:val="00F3779A"/>
    <w:rsid w:val="00F4191D"/>
    <w:rsid w:val="00F43353"/>
    <w:rsid w:val="00F44576"/>
    <w:rsid w:val="00F454F3"/>
    <w:rsid w:val="00F530EA"/>
    <w:rsid w:val="00F532E9"/>
    <w:rsid w:val="00F56CA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96710A"/>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96710A"/>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B7A83"/>
    <w:rsid w:val="00441CBD"/>
    <w:rsid w:val="0054449F"/>
    <w:rsid w:val="00544843"/>
    <w:rsid w:val="005C4CE9"/>
    <w:rsid w:val="00627A49"/>
    <w:rsid w:val="007F2846"/>
    <w:rsid w:val="008F27EA"/>
    <w:rsid w:val="00937783"/>
    <w:rsid w:val="009836DA"/>
    <w:rsid w:val="009F088A"/>
    <w:rsid w:val="00AB323C"/>
    <w:rsid w:val="00BC3326"/>
    <w:rsid w:val="00D91D4C"/>
    <w:rsid w:val="00DD4ED9"/>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2025-04-29T00:00:00</PublishDate>
  <Abstract>Approval of Modules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ucop-approval-of-modules-v4-06-may-2025</dc:title>
  <dc:subject>
  </dc:subject>
  <dc:creator>Katie J Skilton</dc:creator>
  <cp:keywords>
  </cp:keywords>
  <dc:description>
  </dc:description>
  <cp:lastModifiedBy>Catie Winter</cp:lastModifiedBy>
  <cp:revision>35</cp:revision>
  <cp:lastPrinted>2018-01-15T16:18:00Z</cp:lastPrinted>
  <dcterms:created xsi:type="dcterms:W3CDTF">2024-03-15T12:22:00Z</dcterms:created>
  <dcterms:modified xsi:type="dcterms:W3CDTF">2025-08-04T11:04:05Z</dcterms:modified>
  <cp:contentStatus>4 06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