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E170CE" w14:paraId="567FF2F5" w14:textId="353057FE">
          <w:pPr>
            <w:pStyle w:val="PolicyTitle"/>
            <w:spacing w:after="360" w:line="240" w:lineRule="auto"/>
            <w:rPr>
              <w:sz w:val="36"/>
              <w:szCs w:val="36"/>
            </w:rPr>
          </w:pPr>
          <w:r>
            <w:rPr>
              <w:sz w:val="36"/>
              <w:szCs w:val="36"/>
            </w:rPr>
            <w:t>Annual Monitoring, Review and Enhancement of Programmes (AMREP) Collaborative Provision</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554EF3" w14:paraId="39306864" w14:textId="2FA8239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E170C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554EF3" w14:paraId="31B699F8" w14:textId="547D0E4F">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170CE">
                  <w:rPr>
                    <w:b w:val="0"/>
                    <w:bCs/>
                    <w:color w:val="auto"/>
                    <w:sz w:val="22"/>
                    <w:szCs w:val="22"/>
                  </w:rPr>
                  <w:t>2 0</w:t>
                </w:r>
                <w:r w:rsidR="00133612">
                  <w:rPr>
                    <w:b w:val="0"/>
                    <w:bCs/>
                    <w:color w:val="auto"/>
                    <w:sz w:val="22"/>
                    <w:szCs w:val="22"/>
                  </w:rPr>
                  <w:t>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554EF3" w14:paraId="086EE632" w14:textId="5E40CF25">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170C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554EF3" w14:paraId="61A4A8F3" w14:textId="4FA1DDE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170CE">
                  <w:rPr>
                    <w:b w:val="0"/>
                    <w:bCs/>
                    <w:color w:val="auto"/>
                    <w:sz w:val="22"/>
                    <w:szCs w:val="22"/>
                  </w:rPr>
                  <w:t>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554EF3" w14:paraId="1252F2F2" w14:textId="347FE779">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sdtContent>
                <w:r w:rsidR="00E170CE">
                  <w:rPr>
                    <w:b w:val="0"/>
                    <w:bCs/>
                    <w:color w:val="auto"/>
                    <w:sz w:val="22"/>
                    <w:szCs w:val="22"/>
                  </w:rPr>
                  <w:t>22 May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554EF3" w14:paraId="3AC671EE" w14:textId="166329C1">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E170CE">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554EF3" w14:paraId="5101B7D5" w14:textId="48E9E84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E170CE">
                  <w:rPr>
                    <w:b w:val="0"/>
                    <w:bCs/>
                    <w:color w:val="auto"/>
                    <w:sz w:val="22"/>
                    <w:szCs w:val="22"/>
                  </w:rPr>
                  <w:t>2027-28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554EF3" w14:paraId="5EBE624B" w14:textId="2E788FE0">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E170CE">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554EF3" w14:paraId="196463B0" w14:textId="653ACA44">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E170CE">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554EF3" w14:paraId="123D99E2" w14:textId="7343DD26">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E170CE">
                  <w:rPr>
                    <w:b w:val="0"/>
                    <w:bCs/>
                    <w:color w:val="auto"/>
                    <w:sz w:val="22"/>
                    <w:szCs w:val="22"/>
                    <w:lang w:val="it-IT"/>
                  </w:rPr>
                  <w:t>Quality Support Service</w:t>
                </w:r>
              </w:sdtContent>
            </w:sdt>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554EF3" w14:paraId="2461BAFE" w14:textId="330340ED">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E170CE">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554EF3" w14:paraId="30450FD0" w14:textId="64C72159">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E170CE">
                  <w:rPr>
                    <w:b w:val="0"/>
                    <w:bCs/>
                    <w:color w:val="auto"/>
                    <w:sz w:val="22"/>
                    <w:szCs w:val="22"/>
                  </w:rPr>
                  <w:t>QAA UK Quality Code</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554EF3" w14:paraId="10AD8CAD" w14:textId="506EEE6D">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E170C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554EF3" w14:paraId="047E3FAD" w14:textId="63474031">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E170CE" w:rsidR="00E170CE">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E170CE" w14:paraId="338EF9A3" w14:textId="70466BD8">
          <w:pPr>
            <w:pStyle w:val="PolicyTitle"/>
            <w:spacing w:after="360" w:line="240" w:lineRule="auto"/>
            <w:rPr>
              <w:sz w:val="36"/>
              <w:szCs w:val="36"/>
            </w:rPr>
          </w:pPr>
          <w:r>
            <w:rPr>
              <w:sz w:val="36"/>
              <w:szCs w:val="36"/>
            </w:rPr>
            <w:t>Annual Monitoring, Review and Enhancement of Programmes (AMREP) Collaborative Provision</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B97323" w:rsidRDefault="00F24D55" w14:paraId="78B5FD15" w14:textId="07032D47">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4538341">
            <w:r w:rsidRPr="00CF2558" w:rsidR="00B97323">
              <w:rPr>
                <w:rStyle w:val="Hyperlink"/>
                <w:noProof/>
              </w:rPr>
              <w:t>1</w:t>
            </w:r>
            <w:r w:rsidR="00B97323">
              <w:rPr>
                <w:rFonts w:asciiTheme="minorHAnsi" w:hAnsiTheme="minorHAnsi" w:cstheme="minorBidi"/>
                <w:noProof/>
                <w:kern w:val="2"/>
                <w:sz w:val="24"/>
                <w:szCs w:val="24"/>
                <w:lang w:val="en-GB" w:eastAsia="en-GB"/>
                <w14:ligatures w14:val="standardContextual"/>
              </w:rPr>
              <w:tab/>
            </w:r>
            <w:r w:rsidRPr="00CF2558" w:rsidR="00B97323">
              <w:rPr>
                <w:rStyle w:val="Hyperlink"/>
                <w:noProof/>
              </w:rPr>
              <w:t>Introduction</w:t>
            </w:r>
            <w:r w:rsidR="00B97323">
              <w:rPr>
                <w:noProof/>
                <w:webHidden/>
              </w:rPr>
              <w:tab/>
            </w:r>
            <w:r w:rsidR="00B97323">
              <w:rPr>
                <w:noProof/>
                <w:webHidden/>
              </w:rPr>
              <w:fldChar w:fldCharType="begin"/>
            </w:r>
            <w:r w:rsidR="00B97323">
              <w:rPr>
                <w:noProof/>
                <w:webHidden/>
              </w:rPr>
              <w:instrText xml:space="preserve"> PAGEREF _Toc174538341 \h </w:instrText>
            </w:r>
            <w:r w:rsidR="00B97323">
              <w:rPr>
                <w:noProof/>
                <w:webHidden/>
              </w:rPr>
            </w:r>
            <w:r w:rsidR="00B97323">
              <w:rPr>
                <w:noProof/>
                <w:webHidden/>
              </w:rPr>
              <w:fldChar w:fldCharType="separate"/>
            </w:r>
            <w:r w:rsidR="00B97323">
              <w:rPr>
                <w:noProof/>
                <w:webHidden/>
              </w:rPr>
              <w:t>3</w:t>
            </w:r>
            <w:r w:rsidR="00B97323">
              <w:rPr>
                <w:noProof/>
                <w:webHidden/>
              </w:rPr>
              <w:fldChar w:fldCharType="end"/>
            </w:r>
          </w:hyperlink>
        </w:p>
        <w:p w:rsidR="00B97323" w:rsidRDefault="00554EF3" w14:paraId="78BAFDAB" w14:textId="0148E40E">
          <w:pPr>
            <w:pStyle w:val="TOC1"/>
            <w:rPr>
              <w:rFonts w:asciiTheme="minorHAnsi" w:hAnsiTheme="minorHAnsi" w:cstheme="minorBidi"/>
              <w:noProof/>
              <w:kern w:val="2"/>
              <w:sz w:val="24"/>
              <w:szCs w:val="24"/>
              <w:lang w:val="en-GB" w:eastAsia="en-GB"/>
              <w14:ligatures w14:val="standardContextual"/>
            </w:rPr>
          </w:pPr>
          <w:hyperlink w:history="1" w:anchor="_Toc174538342">
            <w:r w:rsidRPr="00CF2558" w:rsidR="00B97323">
              <w:rPr>
                <w:rStyle w:val="Hyperlink"/>
                <w:noProof/>
              </w:rPr>
              <w:t>2</w:t>
            </w:r>
            <w:r w:rsidR="00B97323">
              <w:rPr>
                <w:rFonts w:asciiTheme="minorHAnsi" w:hAnsiTheme="minorHAnsi" w:cstheme="minorBidi"/>
                <w:noProof/>
                <w:kern w:val="2"/>
                <w:sz w:val="24"/>
                <w:szCs w:val="24"/>
                <w:lang w:val="en-GB" w:eastAsia="en-GB"/>
                <w14:ligatures w14:val="standardContextual"/>
              </w:rPr>
              <w:tab/>
            </w:r>
            <w:r w:rsidRPr="00CF2558" w:rsidR="00B97323">
              <w:rPr>
                <w:rStyle w:val="Hyperlink"/>
                <w:noProof/>
              </w:rPr>
              <w:t>The Process of Annual Monitoring for Collaborative Provision</w:t>
            </w:r>
            <w:r w:rsidR="00B97323">
              <w:rPr>
                <w:noProof/>
                <w:webHidden/>
              </w:rPr>
              <w:tab/>
            </w:r>
            <w:r w:rsidR="00B97323">
              <w:rPr>
                <w:noProof/>
                <w:webHidden/>
              </w:rPr>
              <w:fldChar w:fldCharType="begin"/>
            </w:r>
            <w:r w:rsidR="00B97323">
              <w:rPr>
                <w:noProof/>
                <w:webHidden/>
              </w:rPr>
              <w:instrText xml:space="preserve"> PAGEREF _Toc174538342 \h </w:instrText>
            </w:r>
            <w:r w:rsidR="00B97323">
              <w:rPr>
                <w:noProof/>
                <w:webHidden/>
              </w:rPr>
            </w:r>
            <w:r w:rsidR="00B97323">
              <w:rPr>
                <w:noProof/>
                <w:webHidden/>
              </w:rPr>
              <w:fldChar w:fldCharType="separate"/>
            </w:r>
            <w:r w:rsidR="00B97323">
              <w:rPr>
                <w:noProof/>
                <w:webHidden/>
              </w:rPr>
              <w:t>3</w:t>
            </w:r>
            <w:r w:rsidR="00B97323">
              <w:rPr>
                <w:noProof/>
                <w:webHidden/>
              </w:rPr>
              <w:fldChar w:fldCharType="end"/>
            </w:r>
          </w:hyperlink>
        </w:p>
        <w:p w:rsidR="00B97323" w:rsidRDefault="00554EF3" w14:paraId="38A290D1" w14:textId="10D3DC5A">
          <w:pPr>
            <w:pStyle w:val="TOC1"/>
            <w:rPr>
              <w:rFonts w:asciiTheme="minorHAnsi" w:hAnsiTheme="minorHAnsi" w:cstheme="minorBidi"/>
              <w:noProof/>
              <w:kern w:val="2"/>
              <w:sz w:val="24"/>
              <w:szCs w:val="24"/>
              <w:lang w:val="en-GB" w:eastAsia="en-GB"/>
              <w14:ligatures w14:val="standardContextual"/>
            </w:rPr>
          </w:pPr>
          <w:hyperlink w:history="1" w:anchor="_Toc174538343">
            <w:r w:rsidRPr="00CF2558" w:rsidR="00B97323">
              <w:rPr>
                <w:rStyle w:val="Hyperlink"/>
                <w:noProof/>
              </w:rPr>
              <w:t>3</w:t>
            </w:r>
            <w:r w:rsidR="00B97323">
              <w:rPr>
                <w:rFonts w:asciiTheme="minorHAnsi" w:hAnsiTheme="minorHAnsi" w:cstheme="minorBidi"/>
                <w:noProof/>
                <w:kern w:val="2"/>
                <w:sz w:val="24"/>
                <w:szCs w:val="24"/>
                <w:lang w:val="en-GB" w:eastAsia="en-GB"/>
                <w14:ligatures w14:val="standardContextual"/>
              </w:rPr>
              <w:tab/>
            </w:r>
            <w:r w:rsidRPr="00CF2558" w:rsidR="00B97323">
              <w:rPr>
                <w:rStyle w:val="Hyperlink"/>
                <w:noProof/>
              </w:rPr>
              <w:t>Module Review and Evaluation</w:t>
            </w:r>
            <w:r w:rsidR="00B97323">
              <w:rPr>
                <w:noProof/>
                <w:webHidden/>
              </w:rPr>
              <w:tab/>
            </w:r>
            <w:r w:rsidR="00B97323">
              <w:rPr>
                <w:noProof/>
                <w:webHidden/>
              </w:rPr>
              <w:fldChar w:fldCharType="begin"/>
            </w:r>
            <w:r w:rsidR="00B97323">
              <w:rPr>
                <w:noProof/>
                <w:webHidden/>
              </w:rPr>
              <w:instrText xml:space="preserve"> PAGEREF _Toc174538343 \h </w:instrText>
            </w:r>
            <w:r w:rsidR="00B97323">
              <w:rPr>
                <w:noProof/>
                <w:webHidden/>
              </w:rPr>
            </w:r>
            <w:r w:rsidR="00B97323">
              <w:rPr>
                <w:noProof/>
                <w:webHidden/>
              </w:rPr>
              <w:fldChar w:fldCharType="separate"/>
            </w:r>
            <w:r w:rsidR="00B97323">
              <w:rPr>
                <w:noProof/>
                <w:webHidden/>
              </w:rPr>
              <w:t>4</w:t>
            </w:r>
            <w:r w:rsidR="00B97323">
              <w:rPr>
                <w:noProof/>
                <w:webHidden/>
              </w:rPr>
              <w:fldChar w:fldCharType="end"/>
            </w:r>
          </w:hyperlink>
        </w:p>
        <w:p w:rsidR="00B97323" w:rsidRDefault="00554EF3" w14:paraId="4F9A79F7" w14:textId="5238C6D7">
          <w:pPr>
            <w:pStyle w:val="TOC1"/>
            <w:rPr>
              <w:rFonts w:asciiTheme="minorHAnsi" w:hAnsiTheme="minorHAnsi" w:cstheme="minorBidi"/>
              <w:noProof/>
              <w:kern w:val="2"/>
              <w:sz w:val="24"/>
              <w:szCs w:val="24"/>
              <w:lang w:val="en-GB" w:eastAsia="en-GB"/>
              <w14:ligatures w14:val="standardContextual"/>
            </w:rPr>
          </w:pPr>
          <w:hyperlink w:history="1" w:anchor="_Toc174538344">
            <w:r w:rsidRPr="00CF2558" w:rsidR="00B97323">
              <w:rPr>
                <w:rStyle w:val="Hyperlink"/>
                <w:noProof/>
              </w:rPr>
              <w:t>4</w:t>
            </w:r>
            <w:r w:rsidR="00B97323">
              <w:rPr>
                <w:rFonts w:asciiTheme="minorHAnsi" w:hAnsiTheme="minorHAnsi" w:cstheme="minorBidi"/>
                <w:noProof/>
                <w:kern w:val="2"/>
                <w:sz w:val="24"/>
                <w:szCs w:val="24"/>
                <w:lang w:val="en-GB" w:eastAsia="en-GB"/>
                <w14:ligatures w14:val="standardContextual"/>
              </w:rPr>
              <w:tab/>
            </w:r>
            <w:r w:rsidRPr="00CF2558" w:rsidR="00B97323">
              <w:rPr>
                <w:rStyle w:val="Hyperlink"/>
                <w:noProof/>
              </w:rPr>
              <w:t>Programme Review and Enhancement Report</w:t>
            </w:r>
            <w:r w:rsidR="00B97323">
              <w:rPr>
                <w:noProof/>
                <w:webHidden/>
              </w:rPr>
              <w:tab/>
            </w:r>
            <w:r w:rsidR="00B97323">
              <w:rPr>
                <w:noProof/>
                <w:webHidden/>
              </w:rPr>
              <w:fldChar w:fldCharType="begin"/>
            </w:r>
            <w:r w:rsidR="00B97323">
              <w:rPr>
                <w:noProof/>
                <w:webHidden/>
              </w:rPr>
              <w:instrText xml:space="preserve"> PAGEREF _Toc174538344 \h </w:instrText>
            </w:r>
            <w:r w:rsidR="00B97323">
              <w:rPr>
                <w:noProof/>
                <w:webHidden/>
              </w:rPr>
            </w:r>
            <w:r w:rsidR="00B97323">
              <w:rPr>
                <w:noProof/>
                <w:webHidden/>
              </w:rPr>
              <w:fldChar w:fldCharType="separate"/>
            </w:r>
            <w:r w:rsidR="00B97323">
              <w:rPr>
                <w:noProof/>
                <w:webHidden/>
              </w:rPr>
              <w:t>4</w:t>
            </w:r>
            <w:r w:rsidR="00B97323">
              <w:rPr>
                <w:noProof/>
                <w:webHidden/>
              </w:rPr>
              <w:fldChar w:fldCharType="end"/>
            </w:r>
          </w:hyperlink>
        </w:p>
        <w:p w:rsidR="00B97323" w:rsidRDefault="00554EF3" w14:paraId="7445E2FA" w14:textId="0021F3F6">
          <w:pPr>
            <w:pStyle w:val="TOC1"/>
            <w:rPr>
              <w:rFonts w:asciiTheme="minorHAnsi" w:hAnsiTheme="minorHAnsi" w:cstheme="minorBidi"/>
              <w:noProof/>
              <w:kern w:val="2"/>
              <w:sz w:val="24"/>
              <w:szCs w:val="24"/>
              <w:lang w:val="en-GB" w:eastAsia="en-GB"/>
              <w14:ligatures w14:val="standardContextual"/>
            </w:rPr>
          </w:pPr>
          <w:hyperlink w:history="1" w:anchor="_Toc174538345">
            <w:r w:rsidRPr="00CF2558" w:rsidR="00B97323">
              <w:rPr>
                <w:rStyle w:val="Hyperlink"/>
                <w:noProof/>
              </w:rPr>
              <w:t>5</w:t>
            </w:r>
            <w:r w:rsidR="00B97323">
              <w:rPr>
                <w:rFonts w:asciiTheme="minorHAnsi" w:hAnsiTheme="minorHAnsi" w:cstheme="minorBidi"/>
                <w:noProof/>
                <w:kern w:val="2"/>
                <w:sz w:val="24"/>
                <w:szCs w:val="24"/>
                <w:lang w:val="en-GB" w:eastAsia="en-GB"/>
                <w14:ligatures w14:val="standardContextual"/>
              </w:rPr>
              <w:tab/>
            </w:r>
            <w:r w:rsidRPr="00CF2558" w:rsidR="00B97323">
              <w:rPr>
                <w:rStyle w:val="Hyperlink"/>
                <w:noProof/>
              </w:rPr>
              <w:t>Institutional Review and Enhancement Report</w:t>
            </w:r>
            <w:r w:rsidR="00B97323">
              <w:rPr>
                <w:noProof/>
                <w:webHidden/>
              </w:rPr>
              <w:tab/>
            </w:r>
            <w:r w:rsidR="00B97323">
              <w:rPr>
                <w:noProof/>
                <w:webHidden/>
              </w:rPr>
              <w:fldChar w:fldCharType="begin"/>
            </w:r>
            <w:r w:rsidR="00B97323">
              <w:rPr>
                <w:noProof/>
                <w:webHidden/>
              </w:rPr>
              <w:instrText xml:space="preserve"> PAGEREF _Toc174538345 \h </w:instrText>
            </w:r>
            <w:r w:rsidR="00B97323">
              <w:rPr>
                <w:noProof/>
                <w:webHidden/>
              </w:rPr>
            </w:r>
            <w:r w:rsidR="00B97323">
              <w:rPr>
                <w:noProof/>
                <w:webHidden/>
              </w:rPr>
              <w:fldChar w:fldCharType="separate"/>
            </w:r>
            <w:r w:rsidR="00B97323">
              <w:rPr>
                <w:noProof/>
                <w:webHidden/>
              </w:rPr>
              <w:t>5</w:t>
            </w:r>
            <w:r w:rsidR="00B97323">
              <w:rPr>
                <w:noProof/>
                <w:webHidden/>
              </w:rPr>
              <w:fldChar w:fldCharType="end"/>
            </w:r>
          </w:hyperlink>
        </w:p>
        <w:p w:rsidR="00B97323" w:rsidRDefault="00554EF3" w14:paraId="38218064" w14:textId="5ECEFF1C">
          <w:pPr>
            <w:pStyle w:val="TOC1"/>
            <w:rPr>
              <w:rFonts w:asciiTheme="minorHAnsi" w:hAnsiTheme="minorHAnsi" w:cstheme="minorBidi"/>
              <w:noProof/>
              <w:kern w:val="2"/>
              <w:sz w:val="24"/>
              <w:szCs w:val="24"/>
              <w:lang w:val="en-GB" w:eastAsia="en-GB"/>
              <w14:ligatures w14:val="standardContextual"/>
            </w:rPr>
          </w:pPr>
          <w:hyperlink w:history="1" w:anchor="_Toc174538346">
            <w:r w:rsidRPr="00CF2558" w:rsidR="00B97323">
              <w:rPr>
                <w:rStyle w:val="Hyperlink"/>
                <w:noProof/>
              </w:rPr>
              <w:t>6</w:t>
            </w:r>
            <w:r w:rsidR="00B97323">
              <w:rPr>
                <w:rFonts w:asciiTheme="minorHAnsi" w:hAnsiTheme="minorHAnsi" w:cstheme="minorBidi"/>
                <w:noProof/>
                <w:kern w:val="2"/>
                <w:sz w:val="24"/>
                <w:szCs w:val="24"/>
                <w:lang w:val="en-GB" w:eastAsia="en-GB"/>
                <w14:ligatures w14:val="standardContextual"/>
              </w:rPr>
              <w:tab/>
            </w:r>
            <w:r w:rsidRPr="00CF2558" w:rsidR="00B97323">
              <w:rPr>
                <w:rStyle w:val="Hyperlink"/>
                <w:noProof/>
              </w:rPr>
              <w:t>Action plans</w:t>
            </w:r>
            <w:r w:rsidR="00B97323">
              <w:rPr>
                <w:noProof/>
                <w:webHidden/>
              </w:rPr>
              <w:tab/>
            </w:r>
            <w:r w:rsidR="00B97323">
              <w:rPr>
                <w:noProof/>
                <w:webHidden/>
              </w:rPr>
              <w:fldChar w:fldCharType="begin"/>
            </w:r>
            <w:r w:rsidR="00B97323">
              <w:rPr>
                <w:noProof/>
                <w:webHidden/>
              </w:rPr>
              <w:instrText xml:space="preserve"> PAGEREF _Toc174538346 \h </w:instrText>
            </w:r>
            <w:r w:rsidR="00B97323">
              <w:rPr>
                <w:noProof/>
                <w:webHidden/>
              </w:rPr>
            </w:r>
            <w:r w:rsidR="00B97323">
              <w:rPr>
                <w:noProof/>
                <w:webHidden/>
              </w:rPr>
              <w:fldChar w:fldCharType="separate"/>
            </w:r>
            <w:r w:rsidR="00B97323">
              <w:rPr>
                <w:noProof/>
                <w:webHidden/>
              </w:rPr>
              <w:t>5</w:t>
            </w:r>
            <w:r w:rsidR="00B97323">
              <w:rPr>
                <w:noProof/>
                <w:webHidden/>
              </w:rPr>
              <w:fldChar w:fldCharType="end"/>
            </w:r>
          </w:hyperlink>
        </w:p>
        <w:p w:rsidR="00B97323" w:rsidRDefault="00554EF3" w14:paraId="784741A2" w14:textId="38242F84">
          <w:pPr>
            <w:pStyle w:val="TOC1"/>
            <w:rPr>
              <w:rFonts w:asciiTheme="minorHAnsi" w:hAnsiTheme="minorHAnsi" w:cstheme="minorBidi"/>
              <w:noProof/>
              <w:kern w:val="2"/>
              <w:sz w:val="24"/>
              <w:szCs w:val="24"/>
              <w:lang w:val="en-GB" w:eastAsia="en-GB"/>
              <w14:ligatures w14:val="standardContextual"/>
            </w:rPr>
          </w:pPr>
          <w:hyperlink w:history="1" w:anchor="_Toc174538347">
            <w:r w:rsidRPr="00CF2558" w:rsidR="00B97323">
              <w:rPr>
                <w:rStyle w:val="Hyperlink"/>
                <w:noProof/>
              </w:rPr>
              <w:t>7</w:t>
            </w:r>
            <w:r w:rsidR="00B97323">
              <w:rPr>
                <w:rFonts w:asciiTheme="minorHAnsi" w:hAnsiTheme="minorHAnsi" w:cstheme="minorBidi"/>
                <w:noProof/>
                <w:kern w:val="2"/>
                <w:sz w:val="24"/>
                <w:szCs w:val="24"/>
                <w:lang w:val="en-GB" w:eastAsia="en-GB"/>
                <w14:ligatures w14:val="standardContextual"/>
              </w:rPr>
              <w:tab/>
            </w:r>
            <w:r w:rsidRPr="00CF2558" w:rsidR="00B97323">
              <w:rPr>
                <w:rStyle w:val="Hyperlink"/>
                <w:noProof/>
              </w:rPr>
              <w:t>Version control</w:t>
            </w:r>
            <w:r w:rsidR="00B97323">
              <w:rPr>
                <w:noProof/>
                <w:webHidden/>
              </w:rPr>
              <w:tab/>
            </w:r>
            <w:r w:rsidR="00B97323">
              <w:rPr>
                <w:noProof/>
                <w:webHidden/>
              </w:rPr>
              <w:fldChar w:fldCharType="begin"/>
            </w:r>
            <w:r w:rsidR="00B97323">
              <w:rPr>
                <w:noProof/>
                <w:webHidden/>
              </w:rPr>
              <w:instrText xml:space="preserve"> PAGEREF _Toc174538347 \h </w:instrText>
            </w:r>
            <w:r w:rsidR="00B97323">
              <w:rPr>
                <w:noProof/>
                <w:webHidden/>
              </w:rPr>
            </w:r>
            <w:r w:rsidR="00B97323">
              <w:rPr>
                <w:noProof/>
                <w:webHidden/>
              </w:rPr>
              <w:fldChar w:fldCharType="separate"/>
            </w:r>
            <w:r w:rsidR="00B97323">
              <w:rPr>
                <w:noProof/>
                <w:webHidden/>
              </w:rPr>
              <w:t>6</w:t>
            </w:r>
            <w:r w:rsidR="00B97323">
              <w:rPr>
                <w:noProof/>
                <w:webHidden/>
              </w:rPr>
              <w:fldChar w:fldCharType="end"/>
            </w:r>
          </w:hyperlink>
        </w:p>
        <w:p w:rsidR="00F24D55" w:rsidRDefault="00F24D55" w14:paraId="79CE4072" w14:textId="60ADE4BA">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E170CE" w14:paraId="1027AF12" w14:textId="63CF857F">
          <w:pPr>
            <w:pStyle w:val="PolicyTitle"/>
            <w:spacing w:after="360" w:line="240" w:lineRule="auto"/>
            <w:rPr>
              <w:sz w:val="36"/>
              <w:szCs w:val="36"/>
            </w:rPr>
          </w:pPr>
          <w:r>
            <w:t>Annual Monitoring, Review and Enhancement of Programmes (AMREP) Collaborative Provision</w:t>
          </w:r>
        </w:p>
      </w:sdtContent>
    </w:sdt>
    <w:p w:rsidR="00BC5840" w:rsidP="00BC5840" w:rsidRDefault="005A6998" w14:paraId="1470D4D5" w14:textId="37903655">
      <w:pPr>
        <w:pStyle w:val="Heading1"/>
      </w:pPr>
      <w:bookmarkStart w:name="_Toc174538341" w:id="0"/>
      <w:r w:rsidRPr="00780B17">
        <w:t>Introduction</w:t>
      </w:r>
      <w:bookmarkEnd w:id="0"/>
    </w:p>
    <w:p w:rsidR="00D34D7B" w:rsidP="00D34D7B" w:rsidRDefault="00D34D7B" w14:paraId="3A98C12C" w14:textId="77777777">
      <w:pPr>
        <w:pStyle w:val="MainBullet"/>
      </w:pPr>
      <w:r>
        <w:t xml:space="preserve">This code of practice sets out the University of Hull’s requirements for the annual monitoring, review and enhancement of </w:t>
      </w:r>
      <w:r w:rsidRPr="005067DF">
        <w:rPr>
          <w:i/>
        </w:rPr>
        <w:t>taught</w:t>
      </w:r>
      <w:r>
        <w:t xml:space="preserve"> programmes for collaborative provision.</w:t>
      </w:r>
    </w:p>
    <w:p w:rsidR="00D34D7B" w:rsidP="00554EF3" w:rsidRDefault="00D34D7B" w14:paraId="1B1BAA14" w14:textId="3415CA52">
      <w:pPr>
        <w:pStyle w:val="MainBullet"/>
        <w:rPr>
          <w:i/>
        </w:rPr>
      </w:pPr>
      <w:r w:rsidRPr="00665508">
        <w:t>Th</w:t>
      </w:r>
      <w:r>
        <w:t>is</w:t>
      </w:r>
      <w:r w:rsidRPr="00665508">
        <w:t xml:space="preserve"> </w:t>
      </w:r>
      <w:r>
        <w:t>C</w:t>
      </w:r>
      <w:r w:rsidRPr="00665508">
        <w:t xml:space="preserve">ode is underpinned by the </w:t>
      </w:r>
      <w:r>
        <w:t>Quality Assurance Agency (</w:t>
      </w:r>
      <w:r w:rsidRPr="00665508">
        <w:t>QAA</w:t>
      </w:r>
      <w:r>
        <w:t>)</w:t>
      </w:r>
      <w:r w:rsidRPr="00665508">
        <w:t xml:space="preserve"> UK Quality Code for Higher Education</w:t>
      </w:r>
      <w:r w:rsidR="00554EF3">
        <w:t xml:space="preserve"> 2024, Principle 5: Monitoring, evaluating and enhancing provision.</w:t>
      </w:r>
    </w:p>
    <w:p w:rsidR="00D34D7B" w:rsidP="00D34D7B" w:rsidRDefault="00D34D7B" w14:paraId="0F5878B7" w14:textId="77777777">
      <w:pPr>
        <w:pStyle w:val="MainBullet"/>
      </w:pPr>
      <w:r>
        <w:t>Annual Monitoring at the University of Hull provides opportunities for identifying areas for improvement and enhancement and promoting and sharing good practice. This is achieved by the effective and transparent use of a wide range of available data and evidence to inform improvement actions. The early identification of areas for improvement ensures the maintenance of academic standards and/or the enhancement of the quality of student learning opportunities and experience.</w:t>
      </w:r>
    </w:p>
    <w:p w:rsidRPr="00547CC4" w:rsidR="00D34D7B" w:rsidP="00D34D7B" w:rsidRDefault="00D34D7B" w14:paraId="501BC7D7" w14:textId="77777777">
      <w:pPr>
        <w:pStyle w:val="MainBullet"/>
      </w:pPr>
      <w:r>
        <w:t>P</w:t>
      </w:r>
      <w:r w:rsidRPr="00973463">
        <w:t>rocess</w:t>
      </w:r>
      <w:r>
        <w:t>es are</w:t>
      </w:r>
      <w:r w:rsidRPr="00973463">
        <w:t xml:space="preserve"> informed by key student satisfaction and performance indicators as well as the views of external stakeholders, such as External Examiners and Professional, Statutory and Regulatory Bodies (PSRBs).</w:t>
      </w:r>
    </w:p>
    <w:p w:rsidRPr="00D34D7B" w:rsidR="00AD62EF" w:rsidP="00D34D7B" w:rsidRDefault="00D34D7B" w14:paraId="73A8E4C2" w14:textId="2C935046">
      <w:pPr>
        <w:pStyle w:val="MainBullet"/>
      </w:pPr>
      <w:r>
        <w:t>The Education Student Experience Committee (ESEC), on behalf of the University, manages the AMREP process and is responsible for the implementation of the AMREP Code of Practice.</w:t>
      </w:r>
    </w:p>
    <w:p w:rsidR="00D34D7B" w:rsidP="00D34D7B" w:rsidRDefault="00D34D7B" w14:paraId="53A01756" w14:textId="77777777">
      <w:pPr>
        <w:pStyle w:val="Heading1"/>
      </w:pPr>
      <w:bookmarkStart w:name="_Toc174538342" w:id="1"/>
      <w:r w:rsidRPr="00D34D7B">
        <w:t>The Process of Annual Monitoring for Collaborative Provision</w:t>
      </w:r>
      <w:bookmarkEnd w:id="1"/>
    </w:p>
    <w:p w:rsidRPr="00D34D7B" w:rsidR="00D34D7B" w:rsidP="00D34D7B" w:rsidRDefault="00D34D7B" w14:paraId="3285749C" w14:textId="77777777">
      <w:pPr>
        <w:pStyle w:val="MainBullet"/>
        <w:rPr>
          <w:lang w:val="en-GB" w:eastAsia="zh-CN"/>
        </w:rPr>
      </w:pPr>
      <w:r w:rsidRPr="00D34D7B">
        <w:rPr>
          <w:lang w:val="en-GB" w:eastAsia="zh-CN"/>
        </w:rPr>
        <w:t>Annual Monitoring assumes a 3-step process:</w:t>
      </w:r>
    </w:p>
    <w:p w:rsidRPr="00D34D7B" w:rsidR="00D34D7B" w:rsidP="00D34D7B" w:rsidRDefault="00D34D7B" w14:paraId="44D764BB" w14:textId="5E1BC6A6">
      <w:pPr>
        <w:pStyle w:val="MainBullet"/>
        <w:numPr>
          <w:ilvl w:val="2"/>
          <w:numId w:val="27"/>
        </w:numPr>
        <w:rPr>
          <w:lang w:val="en-GB" w:eastAsia="zh-CN"/>
        </w:rPr>
      </w:pPr>
      <w:r w:rsidRPr="00D34D7B">
        <w:rPr>
          <w:b/>
          <w:bCs w:val="0"/>
          <w:lang w:val="en-GB" w:eastAsia="zh-CN"/>
        </w:rPr>
        <w:t xml:space="preserve">Module </w:t>
      </w:r>
      <w:r w:rsidRPr="00D34D7B">
        <w:rPr>
          <w:lang w:val="en-GB" w:eastAsia="zh-CN"/>
        </w:rPr>
        <w:t>Review (recommended as good practice)</w:t>
      </w:r>
    </w:p>
    <w:p w:rsidRPr="00D34D7B" w:rsidR="00D34D7B" w:rsidP="00D34D7B" w:rsidRDefault="00D34D7B" w14:paraId="16402E88" w14:textId="6AA0AFEF">
      <w:pPr>
        <w:pStyle w:val="MainBullet"/>
        <w:numPr>
          <w:ilvl w:val="2"/>
          <w:numId w:val="27"/>
        </w:numPr>
        <w:rPr>
          <w:lang w:val="en-GB" w:eastAsia="zh-CN"/>
        </w:rPr>
      </w:pPr>
      <w:r w:rsidRPr="00D34D7B">
        <w:rPr>
          <w:b/>
          <w:bCs w:val="0"/>
          <w:lang w:val="en-GB" w:eastAsia="zh-CN"/>
        </w:rPr>
        <w:t>Programme</w:t>
      </w:r>
      <w:r w:rsidRPr="00D34D7B">
        <w:rPr>
          <w:lang w:val="en-GB" w:eastAsia="zh-CN"/>
        </w:rPr>
        <w:t xml:space="preserve"> Review and Enhancement Report</w:t>
      </w:r>
    </w:p>
    <w:p w:rsidRPr="00D34D7B" w:rsidR="00D34D7B" w:rsidP="00D34D7B" w:rsidRDefault="00D34D7B" w14:paraId="0BEF6CFE" w14:textId="177F59FA">
      <w:pPr>
        <w:pStyle w:val="MainBullet"/>
        <w:numPr>
          <w:ilvl w:val="2"/>
          <w:numId w:val="27"/>
        </w:numPr>
        <w:rPr>
          <w:lang w:val="en-GB" w:eastAsia="zh-CN"/>
        </w:rPr>
      </w:pPr>
      <w:r w:rsidRPr="00D34D7B">
        <w:rPr>
          <w:b/>
          <w:bCs w:val="0"/>
          <w:lang w:val="en-GB" w:eastAsia="zh-CN"/>
        </w:rPr>
        <w:t>Institutiona</w:t>
      </w:r>
      <w:r w:rsidRPr="00D34D7B">
        <w:rPr>
          <w:lang w:val="en-GB" w:eastAsia="zh-CN"/>
        </w:rPr>
        <w:t>l Review and Enhancement Report</w:t>
      </w:r>
      <w:r>
        <w:rPr>
          <w:lang w:val="en-GB" w:eastAsia="zh-CN"/>
        </w:rPr>
        <w:t>.</w:t>
      </w:r>
    </w:p>
    <w:p w:rsidRPr="00D34D7B" w:rsidR="00D34D7B" w:rsidP="00D34D7B" w:rsidRDefault="00D34D7B" w14:paraId="0F4BBCBA" w14:textId="693A8886">
      <w:pPr>
        <w:pStyle w:val="MainBullet"/>
        <w:rPr>
          <w:lang w:val="en-GB" w:eastAsia="zh-CN"/>
        </w:rPr>
      </w:pPr>
      <w:r w:rsidRPr="00D34D7B">
        <w:t xml:space="preserve">Module and programme teams </w:t>
      </w:r>
      <w:r w:rsidRPr="00BE7F24">
        <w:rPr>
          <w:b/>
          <w:bCs w:val="0"/>
        </w:rPr>
        <w:t>should</w:t>
      </w:r>
      <w:r w:rsidRPr="00D34D7B">
        <w:t xml:space="preserve"> make effective use of a range of sources of evidence when completing reports and action plans, these may include, but not be limited to: </w:t>
      </w:r>
    </w:p>
    <w:p w:rsidRPr="00D34D7B" w:rsidR="00D34D7B" w:rsidP="00D34D7B" w:rsidRDefault="00D34D7B" w14:paraId="6793EB55" w14:textId="318A57AA">
      <w:pPr>
        <w:pStyle w:val="MainBullet"/>
        <w:numPr>
          <w:ilvl w:val="2"/>
          <w:numId w:val="27"/>
        </w:numPr>
        <w:rPr>
          <w:lang w:val="en-GB" w:eastAsia="zh-CN"/>
        </w:rPr>
      </w:pPr>
      <w:r w:rsidRPr="00D34D7B">
        <w:rPr>
          <w:lang w:val="en-GB" w:eastAsia="zh-CN"/>
        </w:rPr>
        <w:t xml:space="preserve">Module Review and Evaluation </w:t>
      </w:r>
    </w:p>
    <w:p w:rsidRPr="00D34D7B" w:rsidR="00D34D7B" w:rsidP="00D34D7B" w:rsidRDefault="00D34D7B" w14:paraId="30B80BD3" w14:textId="2351E78E">
      <w:pPr>
        <w:pStyle w:val="MainBullet"/>
        <w:numPr>
          <w:ilvl w:val="2"/>
          <w:numId w:val="27"/>
        </w:numPr>
        <w:rPr>
          <w:lang w:val="en-GB" w:eastAsia="zh-CN"/>
        </w:rPr>
      </w:pPr>
      <w:r w:rsidRPr="00D34D7B">
        <w:rPr>
          <w:lang w:val="en-GB" w:eastAsia="zh-CN"/>
        </w:rPr>
        <w:t>Reports of external examiners</w:t>
      </w:r>
    </w:p>
    <w:p w:rsidRPr="00D34D7B" w:rsidR="00D34D7B" w:rsidP="00D34D7B" w:rsidRDefault="00D34D7B" w14:paraId="1FAA5F5E" w14:textId="0B72745E">
      <w:pPr>
        <w:pStyle w:val="MainBullet"/>
        <w:numPr>
          <w:ilvl w:val="2"/>
          <w:numId w:val="27"/>
        </w:numPr>
        <w:rPr>
          <w:lang w:val="en-GB" w:eastAsia="zh-CN"/>
        </w:rPr>
      </w:pPr>
      <w:r w:rsidRPr="00D34D7B">
        <w:rPr>
          <w:lang w:val="en-GB" w:eastAsia="zh-CN"/>
        </w:rPr>
        <w:t>Student survey results (e.g., internal Student Survey, National Student Survey (NSS). Including free text comments and key issues raised</w:t>
      </w:r>
      <w:r w:rsidR="00BC136E">
        <w:rPr>
          <w:lang w:val="en-GB" w:eastAsia="zh-CN"/>
        </w:rPr>
        <w:t>.</w:t>
      </w:r>
    </w:p>
    <w:p w:rsidRPr="00D34D7B" w:rsidR="00D34D7B" w:rsidP="00D34D7B" w:rsidRDefault="00D34D7B" w14:paraId="66195816" w14:textId="119BF649">
      <w:pPr>
        <w:pStyle w:val="MainBullet"/>
        <w:numPr>
          <w:ilvl w:val="2"/>
          <w:numId w:val="27"/>
        </w:numPr>
        <w:rPr>
          <w:lang w:val="en-GB" w:eastAsia="zh-CN"/>
        </w:rPr>
      </w:pPr>
      <w:r w:rsidRPr="00D34D7B">
        <w:rPr>
          <w:lang w:val="en-GB" w:eastAsia="zh-CN"/>
        </w:rPr>
        <w:t>Data relating to recruitment and admissions, entry tariff, enrolment, assessment marks, progression, retention and achievement</w:t>
      </w:r>
    </w:p>
    <w:p w:rsidRPr="00D34D7B" w:rsidR="00D34D7B" w:rsidP="00D34D7B" w:rsidRDefault="00D34D7B" w14:paraId="75553402" w14:textId="2743F988">
      <w:pPr>
        <w:pStyle w:val="MainBullet"/>
        <w:numPr>
          <w:ilvl w:val="2"/>
          <w:numId w:val="27"/>
        </w:numPr>
        <w:rPr>
          <w:lang w:val="en-GB" w:eastAsia="zh-CN"/>
        </w:rPr>
      </w:pPr>
      <w:r w:rsidRPr="00D34D7B">
        <w:rPr>
          <w:lang w:val="en-GB" w:eastAsia="zh-CN"/>
        </w:rPr>
        <w:t>Graduate Outcomes results (where available)</w:t>
      </w:r>
    </w:p>
    <w:p w:rsidRPr="00D34D7B" w:rsidR="00D34D7B" w:rsidP="00D34D7B" w:rsidRDefault="00D34D7B" w14:paraId="60B91FC5" w14:textId="75C893EB">
      <w:pPr>
        <w:pStyle w:val="MainBullet"/>
        <w:numPr>
          <w:ilvl w:val="2"/>
          <w:numId w:val="27"/>
        </w:numPr>
        <w:rPr>
          <w:lang w:val="en-GB" w:eastAsia="zh-CN"/>
        </w:rPr>
      </w:pPr>
      <w:r w:rsidRPr="00D34D7B">
        <w:rPr>
          <w:lang w:val="en-GB" w:eastAsia="zh-CN"/>
        </w:rPr>
        <w:t>Recommendations made at University Validation Panels</w:t>
      </w:r>
    </w:p>
    <w:p w:rsidRPr="00D34D7B" w:rsidR="00D34D7B" w:rsidP="00D34D7B" w:rsidRDefault="00D34D7B" w14:paraId="3904A9E6" w14:textId="2ADFA372">
      <w:pPr>
        <w:pStyle w:val="MainBullet"/>
        <w:numPr>
          <w:ilvl w:val="2"/>
          <w:numId w:val="27"/>
        </w:numPr>
        <w:rPr>
          <w:lang w:val="en-GB" w:eastAsia="zh-CN"/>
        </w:rPr>
      </w:pPr>
      <w:r w:rsidRPr="00D34D7B">
        <w:rPr>
          <w:lang w:val="en-GB" w:eastAsia="zh-CN"/>
        </w:rPr>
        <w:t>Issues and good practice raised at Student Staff Forums</w:t>
      </w:r>
    </w:p>
    <w:p w:rsidRPr="00D34D7B" w:rsidR="00D34D7B" w:rsidP="00D34D7B" w:rsidRDefault="00D34D7B" w14:paraId="02F6B486" w14:textId="77777777">
      <w:pPr>
        <w:pStyle w:val="MainBullet"/>
        <w:numPr>
          <w:ilvl w:val="2"/>
          <w:numId w:val="27"/>
        </w:numPr>
        <w:rPr>
          <w:lang w:val="en-GB" w:eastAsia="zh-CN"/>
        </w:rPr>
      </w:pPr>
      <w:r w:rsidRPr="00D34D7B">
        <w:rPr>
          <w:lang w:val="en-GB" w:eastAsia="zh-CN"/>
        </w:rPr>
        <w:t>If available, feedback from former students, staff, employers and professional bodies (PSRBs) as appropriate.</w:t>
      </w:r>
    </w:p>
    <w:p w:rsidR="00D34D7B" w:rsidP="00D34D7B" w:rsidRDefault="00D34D7B" w14:paraId="6826ED81" w14:textId="77777777">
      <w:pPr>
        <w:pStyle w:val="MainBullet"/>
      </w:pPr>
      <w:r>
        <w:t xml:space="preserve">Module and programme teams </w:t>
      </w:r>
      <w:r w:rsidRPr="00C01C1B">
        <w:rPr>
          <w:b/>
        </w:rPr>
        <w:t>should</w:t>
      </w:r>
      <w:r>
        <w:t xml:space="preserve"> reflect upon current and historical data to inform </w:t>
      </w:r>
      <w:r>
        <w:lastRenderedPageBreak/>
        <w:t>their analysis, thereby allowing the trends over time to be identified and context to data to be provided. This is particularly important when, for example, small cohort sizes are being discussed.</w:t>
      </w:r>
    </w:p>
    <w:p w:rsidRPr="00D34D7B" w:rsidR="00D34D7B" w:rsidP="00D34D7B" w:rsidRDefault="00D34D7B" w14:paraId="473BD9C7" w14:textId="43B27477">
      <w:pPr>
        <w:pStyle w:val="MainBullet"/>
      </w:pPr>
      <w:r>
        <w:t xml:space="preserve">Additionally, module and programme teams </w:t>
      </w:r>
      <w:r w:rsidRPr="00C01C1B">
        <w:rPr>
          <w:b/>
        </w:rPr>
        <w:t>should</w:t>
      </w:r>
      <w:r>
        <w:t xml:space="preserve"> consider how any relevant initiatives originating from University Committees can be or have been implemented. For example, how a change in university regulation or process may have impacted upon learning, teaching and assessment in the reporting year.</w:t>
      </w:r>
    </w:p>
    <w:p w:rsidR="00D34D7B" w:rsidP="00D34D7B" w:rsidRDefault="00D34D7B" w14:paraId="1C5BF360" w14:textId="77777777">
      <w:pPr>
        <w:pStyle w:val="Heading1"/>
      </w:pPr>
      <w:bookmarkStart w:name="_Toc174538343" w:id="2"/>
      <w:r w:rsidRPr="00D34D7B">
        <w:t>Module Review and Evaluation</w:t>
      </w:r>
      <w:bookmarkEnd w:id="2"/>
    </w:p>
    <w:p w:rsidRPr="00D34D7B" w:rsidR="00D34D7B" w:rsidP="00D34D7B" w:rsidRDefault="00D34D7B" w14:paraId="701ED995" w14:textId="77777777">
      <w:pPr>
        <w:pStyle w:val="MainBullet"/>
        <w:rPr>
          <w:lang w:val="en-GB" w:eastAsia="zh-CN"/>
        </w:rPr>
      </w:pPr>
      <w:r w:rsidRPr="00D34D7B">
        <w:rPr>
          <w:lang w:val="en-GB" w:eastAsia="zh-CN"/>
        </w:rPr>
        <w:t xml:space="preserve">Whilst the University Code of Practice for Module Review (Standardised Module Review Process, Mid-Module Review and Module Evaluation Questionnaires) is not mandatory for Collaborative Partners, it is considered best practice and </w:t>
      </w:r>
      <w:r w:rsidRPr="00BE7F24">
        <w:rPr>
          <w:b/>
          <w:bCs w:val="0"/>
          <w:lang w:val="en-GB" w:eastAsia="zh-CN"/>
        </w:rPr>
        <w:t>should</w:t>
      </w:r>
      <w:r w:rsidRPr="00D34D7B">
        <w:rPr>
          <w:lang w:val="en-GB" w:eastAsia="zh-CN"/>
        </w:rPr>
        <w:t xml:space="preserve"> be used as a guide for Partners to implement their own process of Module Review. </w:t>
      </w:r>
    </w:p>
    <w:p w:rsidRPr="00D34D7B" w:rsidR="00D34D7B" w:rsidP="00D34D7B" w:rsidRDefault="00D34D7B" w14:paraId="71A7DF7F" w14:textId="75642294">
      <w:pPr>
        <w:pStyle w:val="MainBullet"/>
        <w:rPr>
          <w:lang w:val="en-GB" w:eastAsia="zh-CN"/>
        </w:rPr>
      </w:pPr>
      <w:r w:rsidRPr="00D34D7B">
        <w:rPr>
          <w:lang w:val="en-GB" w:eastAsia="zh-CN"/>
        </w:rPr>
        <w:t xml:space="preserve">Results from all relevant student feedback mechanisms </w:t>
      </w:r>
      <w:r w:rsidRPr="00BE7F24">
        <w:rPr>
          <w:b/>
          <w:bCs w:val="0"/>
          <w:lang w:val="en-GB" w:eastAsia="zh-CN"/>
        </w:rPr>
        <w:t>should</w:t>
      </w:r>
      <w:r w:rsidRPr="00D34D7B">
        <w:rPr>
          <w:lang w:val="en-GB" w:eastAsia="zh-CN"/>
        </w:rPr>
        <w:t xml:space="preserve"> form part of the data available to module and programme leaders for completion of their annual report. It is considered good practice for module leaders to discuss the findings of module evaluations, critically reflecting on feedback provided by students and setting out any resulting actions that may, or may not, need to be taken as a result of feedback. This evaluation, it is suggested, </w:t>
      </w:r>
      <w:r w:rsidRPr="00BE7F24">
        <w:rPr>
          <w:b/>
          <w:bCs w:val="0"/>
          <w:lang w:val="en-GB" w:eastAsia="zh-CN"/>
        </w:rPr>
        <w:t>should</w:t>
      </w:r>
      <w:r w:rsidRPr="00D34D7B">
        <w:rPr>
          <w:lang w:val="en-GB" w:eastAsia="zh-CN"/>
        </w:rPr>
        <w:t xml:space="preserve"> be made available to students thereby closing the feedback loop.</w:t>
      </w:r>
    </w:p>
    <w:p w:rsidR="00D34D7B" w:rsidP="00D34D7B" w:rsidRDefault="00D34D7B" w14:paraId="19F06AD8" w14:textId="77777777">
      <w:pPr>
        <w:pStyle w:val="Heading1"/>
      </w:pPr>
      <w:r w:rsidRPr="00D34D7B">
        <w:t xml:space="preserve"> </w:t>
      </w:r>
      <w:bookmarkStart w:name="_Toc174538344" w:id="3"/>
      <w:r w:rsidRPr="00D34D7B">
        <w:t>Programme Review and Enhancement Report</w:t>
      </w:r>
      <w:bookmarkEnd w:id="3"/>
    </w:p>
    <w:p w:rsidRPr="00D34D7B" w:rsidR="00D34D7B" w:rsidP="00D34D7B" w:rsidRDefault="00D34D7B" w14:paraId="2A8766F9" w14:textId="77777777">
      <w:pPr>
        <w:pStyle w:val="MainBullet"/>
        <w:rPr>
          <w:lang w:val="en-GB" w:eastAsia="zh-CN"/>
        </w:rPr>
      </w:pPr>
      <w:r w:rsidRPr="00D34D7B">
        <w:rPr>
          <w:lang w:val="en-GB" w:eastAsia="zh-CN"/>
        </w:rPr>
        <w:t xml:space="preserve">The development of the Programme Report requires programme directors, programme management teams and the institution’s quality team to use the analysis provided in module reports to confirm explicitly whether academic standards are being maintained, in line with the UK Quality Code. </w:t>
      </w:r>
    </w:p>
    <w:p w:rsidRPr="00D34D7B" w:rsidR="00D34D7B" w:rsidP="00D34D7B" w:rsidRDefault="00D34D7B" w14:paraId="27862651" w14:textId="77777777">
      <w:pPr>
        <w:pStyle w:val="MainBullet"/>
        <w:rPr>
          <w:lang w:val="en-GB" w:eastAsia="zh-CN"/>
        </w:rPr>
      </w:pPr>
      <w:r w:rsidRPr="00D34D7B">
        <w:rPr>
          <w:lang w:val="en-GB" w:eastAsia="zh-CN"/>
        </w:rPr>
        <w:t xml:space="preserve">The process of reviewing a programme encourages teams to identify areas of good practice where deliberate steps are being taken to improve provision and the student experience. The process also requires active consideration of quality indicators, such as student feedback, student outcomes and additional programme metrics. Analysis of all information </w:t>
      </w:r>
      <w:r w:rsidRPr="00BE7F24">
        <w:rPr>
          <w:b/>
          <w:bCs w:val="0"/>
          <w:lang w:val="en-GB" w:eastAsia="zh-CN"/>
        </w:rPr>
        <w:t>must</w:t>
      </w:r>
      <w:r w:rsidRPr="00D34D7B">
        <w:rPr>
          <w:lang w:val="en-GB" w:eastAsia="zh-CN"/>
        </w:rPr>
        <w:t xml:space="preserve"> be detailed in the report, including how any issues are being responded to.</w:t>
      </w:r>
    </w:p>
    <w:p w:rsidRPr="00D34D7B" w:rsidR="00D34D7B" w:rsidP="00D34D7B" w:rsidRDefault="00D34D7B" w14:paraId="6078AC51" w14:textId="5962DA6E">
      <w:pPr>
        <w:pStyle w:val="MainBullet"/>
        <w:rPr>
          <w:lang w:val="en-GB" w:eastAsia="zh-CN"/>
        </w:rPr>
      </w:pPr>
      <w:r w:rsidRPr="00D34D7B">
        <w:rPr>
          <w:lang w:val="en-GB" w:eastAsia="zh-CN"/>
        </w:rPr>
        <w:t>Programme Reports include an additional section for Academic Contacts to complete</w:t>
      </w:r>
      <w:r w:rsidR="00BC136E">
        <w:rPr>
          <w:lang w:val="en-GB" w:eastAsia="zh-CN"/>
        </w:rPr>
        <w:t>. T</w:t>
      </w:r>
      <w:r w:rsidRPr="00D34D7B">
        <w:rPr>
          <w:lang w:val="en-GB" w:eastAsia="zh-CN"/>
        </w:rPr>
        <w:t>his section is to assure consistency of the student experience and academic standard, and to feedback on:</w:t>
      </w:r>
    </w:p>
    <w:p w:rsidRPr="00D34D7B" w:rsidR="00D34D7B" w:rsidP="00D34D7B" w:rsidRDefault="00D34D7B" w14:paraId="107796CA" w14:textId="284C5B73">
      <w:pPr>
        <w:pStyle w:val="MainBullet"/>
        <w:numPr>
          <w:ilvl w:val="2"/>
          <w:numId w:val="27"/>
        </w:numPr>
        <w:rPr>
          <w:lang w:val="en-GB" w:eastAsia="zh-CN"/>
        </w:rPr>
      </w:pPr>
      <w:r w:rsidRPr="00D34D7B">
        <w:rPr>
          <w:lang w:val="en-GB" w:eastAsia="zh-CN"/>
        </w:rPr>
        <w:t>Assessment tasks and the standard of student performance</w:t>
      </w:r>
    </w:p>
    <w:p w:rsidRPr="00D34D7B" w:rsidR="00D34D7B" w:rsidP="00D34D7B" w:rsidRDefault="00D34D7B" w14:paraId="56E0846B" w14:textId="145D05E6">
      <w:pPr>
        <w:pStyle w:val="MainBullet"/>
        <w:numPr>
          <w:ilvl w:val="2"/>
          <w:numId w:val="27"/>
        </w:numPr>
        <w:rPr>
          <w:lang w:val="en-GB" w:eastAsia="zh-CN"/>
        </w:rPr>
      </w:pPr>
      <w:r w:rsidRPr="00D34D7B">
        <w:rPr>
          <w:lang w:val="en-GB" w:eastAsia="zh-CN"/>
        </w:rPr>
        <w:t>Student attainment compared to that of students on comparable programmes</w:t>
      </w:r>
    </w:p>
    <w:p w:rsidRPr="00D34D7B" w:rsidR="00D34D7B" w:rsidP="00D34D7B" w:rsidRDefault="00D34D7B" w14:paraId="7E44F02F" w14:textId="4FB80818">
      <w:pPr>
        <w:pStyle w:val="MainBullet"/>
        <w:numPr>
          <w:ilvl w:val="2"/>
          <w:numId w:val="27"/>
        </w:numPr>
        <w:rPr>
          <w:lang w:val="en-GB" w:eastAsia="zh-CN"/>
        </w:rPr>
      </w:pPr>
      <w:r w:rsidRPr="00D34D7B">
        <w:rPr>
          <w:lang w:val="en-GB" w:eastAsia="zh-CN"/>
        </w:rPr>
        <w:t>Student support</w:t>
      </w:r>
    </w:p>
    <w:p w:rsidRPr="00D34D7B" w:rsidR="00D34D7B" w:rsidP="00D34D7B" w:rsidRDefault="00D34D7B" w14:paraId="35BF29D2" w14:textId="77777777">
      <w:pPr>
        <w:pStyle w:val="MainBullet"/>
        <w:numPr>
          <w:ilvl w:val="2"/>
          <w:numId w:val="27"/>
        </w:numPr>
        <w:rPr>
          <w:lang w:val="en-GB" w:eastAsia="zh-CN"/>
        </w:rPr>
      </w:pPr>
      <w:r w:rsidRPr="00D34D7B">
        <w:rPr>
          <w:lang w:val="en-GB" w:eastAsia="zh-CN"/>
        </w:rPr>
        <w:t>Strengths or areas of good practice worthy of wider dissemination.</w:t>
      </w:r>
    </w:p>
    <w:p w:rsidRPr="00D34D7B" w:rsidR="00D34D7B" w:rsidP="00D34D7B" w:rsidRDefault="00D34D7B" w14:paraId="01B422C0" w14:textId="77777777">
      <w:pPr>
        <w:pStyle w:val="MainBullet"/>
        <w:numPr>
          <w:ilvl w:val="0"/>
          <w:numId w:val="0"/>
        </w:numPr>
        <w:rPr>
          <w:lang w:val="en-GB" w:eastAsia="zh-CN"/>
        </w:rPr>
      </w:pPr>
    </w:p>
    <w:p w:rsidRPr="00D34D7B" w:rsidR="00D34D7B" w:rsidP="00D34D7B" w:rsidRDefault="00D34D7B" w14:paraId="13C508BB" w14:textId="588D595A">
      <w:pPr>
        <w:pStyle w:val="MainBullet"/>
        <w:rPr>
          <w:lang w:val="en-GB" w:eastAsia="zh-CN"/>
        </w:rPr>
      </w:pPr>
      <w:r w:rsidRPr="00D34D7B">
        <w:rPr>
          <w:lang w:val="en-GB" w:eastAsia="zh-CN"/>
        </w:rPr>
        <w:t>The final Programme Report</w:t>
      </w:r>
      <w:r w:rsidRPr="00BE7F24">
        <w:rPr>
          <w:b/>
          <w:bCs w:val="0"/>
          <w:lang w:val="en-GB" w:eastAsia="zh-CN"/>
        </w:rPr>
        <w:t xml:space="preserve"> should</w:t>
      </w:r>
      <w:r w:rsidRPr="00D34D7B">
        <w:rPr>
          <w:lang w:val="en-GB" w:eastAsia="zh-CN"/>
        </w:rPr>
        <w:t xml:space="preserve"> be submitted to the Quality Support Service</w:t>
      </w:r>
      <w:r w:rsidR="00BC136E">
        <w:rPr>
          <w:lang w:val="en-GB" w:eastAsia="zh-CN"/>
        </w:rPr>
        <w:t xml:space="preserve"> (QSS)</w:t>
      </w:r>
      <w:r w:rsidRPr="00D34D7B">
        <w:rPr>
          <w:lang w:val="en-GB" w:eastAsia="zh-CN"/>
        </w:rPr>
        <w:t xml:space="preserve">. Reports </w:t>
      </w:r>
      <w:r w:rsidRPr="00BE7F24">
        <w:rPr>
          <w:b/>
          <w:bCs w:val="0"/>
          <w:lang w:val="en-GB" w:eastAsia="zh-CN"/>
        </w:rPr>
        <w:t>should</w:t>
      </w:r>
      <w:r w:rsidRPr="00D34D7B">
        <w:rPr>
          <w:lang w:val="en-GB" w:eastAsia="zh-CN"/>
        </w:rPr>
        <w:t xml:space="preserve"> be received and discussed at the next trimester one Joint Board of Study meeting.</w:t>
      </w:r>
    </w:p>
    <w:p w:rsidR="00D34D7B" w:rsidP="00D34D7B" w:rsidRDefault="00D34D7B" w14:paraId="7CDAFC33" w14:textId="77777777">
      <w:pPr>
        <w:pStyle w:val="Heading1"/>
      </w:pPr>
      <w:bookmarkStart w:name="_Toc174538345" w:id="4"/>
      <w:r w:rsidRPr="00D34D7B">
        <w:lastRenderedPageBreak/>
        <w:t>Institutional Review and Enhancement Report</w:t>
      </w:r>
      <w:bookmarkEnd w:id="4"/>
    </w:p>
    <w:p w:rsidRPr="00D34D7B" w:rsidR="00D34D7B" w:rsidP="00D34D7B" w:rsidRDefault="00D34D7B" w14:paraId="1D8851C7" w14:textId="77777777">
      <w:pPr>
        <w:pStyle w:val="MainBullet"/>
        <w:rPr>
          <w:lang w:val="en-GB" w:eastAsia="zh-CN"/>
        </w:rPr>
      </w:pPr>
      <w:r w:rsidRPr="00D34D7B">
        <w:rPr>
          <w:lang w:val="en-GB" w:eastAsia="zh-CN"/>
        </w:rPr>
        <w:t xml:space="preserve">Partner institutions are required to complete an annual Institution Review and Enhancement Report, which collates findings from the module and programme reports and uses wider institutional data to evaluate the reporting year. </w:t>
      </w:r>
    </w:p>
    <w:p w:rsidRPr="00D34D7B" w:rsidR="00D34D7B" w:rsidP="00D34D7B" w:rsidRDefault="00D34D7B" w14:paraId="11B601E8" w14:textId="77777777">
      <w:pPr>
        <w:pStyle w:val="MainBullet"/>
        <w:rPr>
          <w:lang w:val="en-GB" w:eastAsia="zh-CN"/>
        </w:rPr>
      </w:pPr>
      <w:r w:rsidRPr="00D34D7B">
        <w:rPr>
          <w:lang w:val="en-GB" w:eastAsia="zh-CN"/>
        </w:rPr>
        <w:t xml:space="preserve">The Institutional Review and Enhancement Report </w:t>
      </w:r>
      <w:r w:rsidRPr="00BE7F24">
        <w:rPr>
          <w:b/>
          <w:bCs w:val="0"/>
          <w:lang w:val="en-GB" w:eastAsia="zh-CN"/>
        </w:rPr>
        <w:t xml:space="preserve">should </w:t>
      </w:r>
      <w:r w:rsidRPr="00D34D7B">
        <w:rPr>
          <w:lang w:val="en-GB" w:eastAsia="zh-CN"/>
        </w:rPr>
        <w:t xml:space="preserve">be submitted to Quality Support Service who will be responsible for convening a panel to review the data, analysis and proposed actions included in the report. </w:t>
      </w:r>
    </w:p>
    <w:p w:rsidRPr="00D34D7B" w:rsidR="00D34D7B" w:rsidP="00D34D7B" w:rsidRDefault="00D34D7B" w14:paraId="0E73E71E" w14:textId="77777777">
      <w:pPr>
        <w:pStyle w:val="MainBullet"/>
        <w:rPr>
          <w:lang w:val="en-GB" w:eastAsia="zh-CN"/>
        </w:rPr>
      </w:pPr>
      <w:r w:rsidRPr="00D34D7B">
        <w:rPr>
          <w:lang w:val="en-GB" w:eastAsia="zh-CN"/>
        </w:rPr>
        <w:t xml:space="preserve">Review panels </w:t>
      </w:r>
      <w:r w:rsidRPr="00BE7F24">
        <w:rPr>
          <w:b/>
          <w:bCs w:val="0"/>
          <w:lang w:val="en-GB" w:eastAsia="zh-CN"/>
        </w:rPr>
        <w:t>must</w:t>
      </w:r>
      <w:r w:rsidRPr="00D34D7B">
        <w:rPr>
          <w:lang w:val="en-GB" w:eastAsia="zh-CN"/>
        </w:rPr>
        <w:t xml:space="preserve"> be Chaired and Secretaried by the University and include academic representation from a university faculty. A panel may include a member of Professional Service Staff. It is deemed good practice for the panel to include a member from another partner institution. </w:t>
      </w:r>
    </w:p>
    <w:p w:rsidRPr="00D34D7B" w:rsidR="00D34D7B" w:rsidP="00D34D7B" w:rsidRDefault="00D34D7B" w14:paraId="1E1D214B" w14:textId="77777777">
      <w:pPr>
        <w:pStyle w:val="MainBullet"/>
        <w:rPr>
          <w:lang w:val="en-GB" w:eastAsia="zh-CN"/>
        </w:rPr>
      </w:pPr>
      <w:r w:rsidRPr="00D34D7B">
        <w:rPr>
          <w:lang w:val="en-GB" w:eastAsia="zh-CN"/>
        </w:rPr>
        <w:t>The panel</w:t>
      </w:r>
      <w:r w:rsidRPr="00BE7F24">
        <w:rPr>
          <w:b/>
          <w:bCs w:val="0"/>
          <w:lang w:val="en-GB" w:eastAsia="zh-CN"/>
        </w:rPr>
        <w:t xml:space="preserve"> should</w:t>
      </w:r>
      <w:r w:rsidRPr="00D34D7B">
        <w:rPr>
          <w:lang w:val="en-GB" w:eastAsia="zh-CN"/>
        </w:rPr>
        <w:t xml:space="preserve"> meet with the partner institution to verify or identify areas of good practice and for development and respond to any feedback or recommendations made to the University by the partner institution.</w:t>
      </w:r>
    </w:p>
    <w:p w:rsidRPr="00D34D7B" w:rsidR="00D34D7B" w:rsidP="00D34D7B" w:rsidRDefault="00D34D7B" w14:paraId="5E92F18B" w14:textId="77777777">
      <w:pPr>
        <w:pStyle w:val="MainBullet"/>
        <w:rPr>
          <w:lang w:val="en-GB" w:eastAsia="zh-CN"/>
        </w:rPr>
      </w:pPr>
      <w:r w:rsidRPr="00D34D7B">
        <w:rPr>
          <w:lang w:val="en-GB" w:eastAsia="zh-CN"/>
        </w:rPr>
        <w:t>Following the Review meeting, the Secretary will summarise the areas of good practice and areas for development identified by the panel and report these to the partner institution. A collated version of all partner institution findings will be reported to the Collaborative Provision Committee and Education Student Experience Committee.</w:t>
      </w:r>
    </w:p>
    <w:p w:rsidRPr="00D34D7B" w:rsidR="00D34D7B" w:rsidP="00D34D7B" w:rsidRDefault="00D34D7B" w14:paraId="6B07D80A" w14:textId="0E7E064A">
      <w:pPr>
        <w:pStyle w:val="MainBullet"/>
        <w:rPr>
          <w:lang w:val="en-GB" w:eastAsia="zh-CN"/>
        </w:rPr>
      </w:pPr>
      <w:r w:rsidRPr="00D34D7B">
        <w:rPr>
          <w:lang w:val="en-GB" w:eastAsia="zh-CN"/>
        </w:rPr>
        <w:t>A summary of good practice identified within each partner institution report will be collated by QSS and circulated to all partner institutions via the Joint Development Board process.</w:t>
      </w:r>
    </w:p>
    <w:p w:rsidR="001B191E" w:rsidP="001B191E" w:rsidRDefault="001B191E" w14:paraId="5CE7ECAD" w14:textId="77777777">
      <w:pPr>
        <w:pStyle w:val="Heading1"/>
      </w:pPr>
      <w:bookmarkStart w:name="_Toc174538346" w:id="5"/>
      <w:r w:rsidRPr="001B191E">
        <w:t>Action plans</w:t>
      </w:r>
      <w:bookmarkEnd w:id="5"/>
    </w:p>
    <w:p w:rsidRPr="001B191E" w:rsidR="001B191E" w:rsidP="001B191E" w:rsidRDefault="001B191E" w14:paraId="202FEFBD" w14:textId="77777777">
      <w:pPr>
        <w:pStyle w:val="MainBullet"/>
        <w:rPr>
          <w:lang w:val="en-GB" w:eastAsia="zh-CN"/>
        </w:rPr>
      </w:pPr>
      <w:r w:rsidRPr="001B191E">
        <w:rPr>
          <w:lang w:val="en-GB" w:eastAsia="zh-CN"/>
        </w:rPr>
        <w:t xml:space="preserve">The AMREP process promotes a prompt response and implementation of action plans at both programme and institutional level. This includes: </w:t>
      </w:r>
    </w:p>
    <w:p w:rsidRPr="001B191E" w:rsidR="001B191E" w:rsidP="001B191E" w:rsidRDefault="001B191E" w14:paraId="6A0CF203" w14:textId="097BBBF9">
      <w:pPr>
        <w:pStyle w:val="MainBullet"/>
        <w:numPr>
          <w:ilvl w:val="2"/>
          <w:numId w:val="27"/>
        </w:numPr>
        <w:rPr>
          <w:lang w:val="en-GB" w:eastAsia="zh-CN"/>
        </w:rPr>
      </w:pPr>
      <w:r w:rsidRPr="001B191E">
        <w:rPr>
          <w:lang w:val="en-GB" w:eastAsia="zh-CN"/>
        </w:rPr>
        <w:t>prompt referral of any issues requiring institutional action to the appropriate service area or University committee</w:t>
      </w:r>
    </w:p>
    <w:p w:rsidRPr="001B191E" w:rsidR="001B191E" w:rsidP="001B191E" w:rsidRDefault="001B191E" w14:paraId="0DAD3A74" w14:textId="77777777">
      <w:pPr>
        <w:pStyle w:val="MainBullet"/>
        <w:numPr>
          <w:ilvl w:val="2"/>
          <w:numId w:val="27"/>
        </w:numPr>
        <w:rPr>
          <w:lang w:val="en-GB" w:eastAsia="zh-CN"/>
        </w:rPr>
      </w:pPr>
      <w:r w:rsidRPr="001B191E">
        <w:rPr>
          <w:lang w:val="en-GB" w:eastAsia="zh-CN"/>
        </w:rPr>
        <w:t>the early identification, recording and dissemination of good practice in a timely manner; and</w:t>
      </w:r>
    </w:p>
    <w:p w:rsidRPr="001B191E" w:rsidR="001B191E" w:rsidP="001B191E" w:rsidRDefault="001B191E" w14:paraId="54E1D49A" w14:textId="330A9B07">
      <w:pPr>
        <w:pStyle w:val="MainBullet"/>
        <w:numPr>
          <w:ilvl w:val="2"/>
          <w:numId w:val="27"/>
        </w:numPr>
        <w:rPr>
          <w:lang w:val="en-GB" w:eastAsia="zh-CN"/>
        </w:rPr>
      </w:pPr>
      <w:r w:rsidRPr="001B191E">
        <w:rPr>
          <w:lang w:val="en-GB" w:eastAsia="zh-CN"/>
        </w:rPr>
        <w:t xml:space="preserve">the tracking of issues and improvement actions, so that stakeholders, including students, staff and external examiners are aware of such actions. </w:t>
      </w:r>
    </w:p>
    <w:p w:rsidRPr="001B191E" w:rsidR="001B191E" w:rsidP="001B191E" w:rsidRDefault="001B191E" w14:paraId="76A5F7C7" w14:textId="77777777">
      <w:pPr>
        <w:pStyle w:val="MainBullet"/>
        <w:rPr>
          <w:lang w:val="en-GB" w:eastAsia="zh-CN"/>
        </w:rPr>
      </w:pPr>
      <w:r w:rsidRPr="001B191E">
        <w:rPr>
          <w:lang w:val="en-GB" w:eastAsia="zh-CN"/>
        </w:rPr>
        <w:t>In order to assure itself of the ongoing monitoring of actions, Quality Support Service may meet with partner institutions mid-way through the review cycle, to review actions arising from the review process.</w:t>
      </w:r>
    </w:p>
    <w:p w:rsidRPr="001B191E" w:rsidR="001B191E" w:rsidP="001B191E" w:rsidRDefault="001B191E" w14:paraId="120A3BF0" w14:textId="77777777">
      <w:pPr>
        <w:pStyle w:val="MainBullet"/>
        <w:numPr>
          <w:ilvl w:val="0"/>
          <w:numId w:val="0"/>
        </w:numPr>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4538347" w:id="6"/>
      <w:r w:rsidRPr="00DC1437">
        <w:lastRenderedPageBreak/>
        <w:t xml:space="preserve">Version </w:t>
      </w:r>
      <w:r w:rsidR="00085124">
        <w:t>c</w:t>
      </w:r>
      <w:r w:rsidRPr="00DC1437">
        <w:t>ontrol</w:t>
      </w:r>
      <w:bookmarkEnd w:id="6"/>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1B191E" w:rsidTr="005E53B3" w14:paraId="727E8523" w14:textId="77777777">
        <w:tc>
          <w:tcPr>
            <w:tcW w:w="572" w:type="pct"/>
          </w:tcPr>
          <w:p w:rsidRPr="00361B78" w:rsidR="001B191E" w:rsidP="001B191E" w:rsidRDefault="001B191E" w14:paraId="01E27D9A" w14:textId="3EE34B00">
            <w:pPr>
              <w:rPr>
                <w:rFonts w:ascii="Calibri" w:hAnsi="Calibri" w:cs="Arial"/>
                <w:sz w:val="20"/>
                <w:szCs w:val="20"/>
              </w:rPr>
            </w:pPr>
          </w:p>
        </w:tc>
        <w:tc>
          <w:tcPr>
            <w:tcW w:w="1804" w:type="pct"/>
          </w:tcPr>
          <w:p w:rsidRPr="00361B78" w:rsidR="001B191E" w:rsidP="001B191E" w:rsidRDefault="001B191E" w14:paraId="68F91E5C" w14:textId="57168AF8">
            <w:pPr>
              <w:rPr>
                <w:rFonts w:ascii="Calibri" w:hAnsi="Calibri" w:cs="Arial"/>
                <w:sz w:val="20"/>
                <w:szCs w:val="20"/>
              </w:rPr>
            </w:pPr>
            <w:r>
              <w:rPr>
                <w:rFonts w:ascii="Calibri" w:hAnsi="Calibri" w:cs="Arial"/>
                <w:sz w:val="20"/>
                <w:szCs w:val="20"/>
              </w:rPr>
              <w:t>Housekeeping – migrated to new template</w:t>
            </w:r>
          </w:p>
        </w:tc>
        <w:tc>
          <w:tcPr>
            <w:tcW w:w="984" w:type="pct"/>
          </w:tcPr>
          <w:p w:rsidRPr="00361B78" w:rsidR="001B191E" w:rsidP="001B191E" w:rsidRDefault="001B191E" w14:paraId="380EB014" w14:textId="55CB31F1">
            <w:pPr>
              <w:rPr>
                <w:rFonts w:ascii="Calibri" w:hAnsi="Calibri" w:cs="Arial"/>
                <w:sz w:val="20"/>
                <w:szCs w:val="20"/>
              </w:rPr>
            </w:pPr>
            <w:r>
              <w:rPr>
                <w:rFonts w:ascii="Calibri" w:hAnsi="Calibri" w:cs="Arial"/>
                <w:sz w:val="20"/>
                <w:szCs w:val="20"/>
              </w:rPr>
              <w:t>AUG 2024</w:t>
            </w:r>
          </w:p>
        </w:tc>
        <w:tc>
          <w:tcPr>
            <w:tcW w:w="1640" w:type="pct"/>
          </w:tcPr>
          <w:p w:rsidRPr="00361B78" w:rsidR="001B191E" w:rsidP="001B191E" w:rsidRDefault="001B191E" w14:paraId="2685B507" w14:textId="3389E2FA">
            <w:pPr>
              <w:rPr>
                <w:rFonts w:ascii="Calibri" w:hAnsi="Calibri" w:cs="Arial"/>
                <w:sz w:val="20"/>
                <w:szCs w:val="20"/>
              </w:rPr>
            </w:pPr>
          </w:p>
        </w:tc>
      </w:tr>
      <w:tr w:rsidRPr="002E6BBA" w:rsidR="001B191E" w:rsidTr="005E53B3" w14:paraId="04C0DC0E" w14:textId="1DAF46B7">
        <w:tc>
          <w:tcPr>
            <w:tcW w:w="572" w:type="pct"/>
          </w:tcPr>
          <w:p w:rsidRPr="002E6BBA" w:rsidR="001B191E" w:rsidP="001B191E" w:rsidRDefault="001B191E" w14:paraId="0B5BB639" w14:textId="40748C73">
            <w:pPr>
              <w:rPr>
                <w:rFonts w:cs="Arial"/>
              </w:rPr>
            </w:pPr>
            <w:r w:rsidRPr="00361B78">
              <w:rPr>
                <w:rFonts w:ascii="Calibri" w:hAnsi="Calibri" w:cs="Arial"/>
                <w:sz w:val="20"/>
                <w:szCs w:val="20"/>
              </w:rPr>
              <w:t>2 00</w:t>
            </w:r>
          </w:p>
        </w:tc>
        <w:tc>
          <w:tcPr>
            <w:tcW w:w="1804" w:type="pct"/>
          </w:tcPr>
          <w:p w:rsidRPr="002E6BBA" w:rsidR="001B191E" w:rsidP="001B191E" w:rsidRDefault="001B191E" w14:paraId="586A713D" w14:textId="523CFA29">
            <w:pPr>
              <w:rPr>
                <w:rFonts w:cs="Arial"/>
              </w:rPr>
            </w:pPr>
            <w:r w:rsidRPr="00361B78">
              <w:rPr>
                <w:rFonts w:ascii="Calibri" w:hAnsi="Calibri" w:cs="Arial"/>
                <w:sz w:val="20"/>
                <w:szCs w:val="20"/>
              </w:rPr>
              <w:t>University Working Group - Nichola Cooper, Quality Manager CP, Quality Support Service</w:t>
            </w:r>
          </w:p>
        </w:tc>
        <w:tc>
          <w:tcPr>
            <w:tcW w:w="984" w:type="pct"/>
          </w:tcPr>
          <w:p w:rsidRPr="002E6BBA" w:rsidR="001B191E" w:rsidP="001B191E" w:rsidRDefault="001B191E" w14:paraId="06870469" w14:textId="0855D455">
            <w:pPr>
              <w:rPr>
                <w:rFonts w:cs="Arial"/>
              </w:rPr>
            </w:pPr>
            <w:r w:rsidRPr="00361B78">
              <w:rPr>
                <w:rFonts w:ascii="Calibri" w:hAnsi="Calibri" w:cs="Arial"/>
                <w:sz w:val="20"/>
                <w:szCs w:val="20"/>
              </w:rPr>
              <w:t>May 2023, Education Committee</w:t>
            </w:r>
          </w:p>
        </w:tc>
        <w:tc>
          <w:tcPr>
            <w:tcW w:w="1640" w:type="pct"/>
          </w:tcPr>
          <w:p w:rsidRPr="00361B78" w:rsidR="001B191E" w:rsidP="001B191E" w:rsidRDefault="001B191E" w14:paraId="5FBF87C2" w14:textId="77777777">
            <w:pPr>
              <w:rPr>
                <w:rFonts w:ascii="Calibri" w:hAnsi="Calibri" w:cs="Arial"/>
                <w:sz w:val="20"/>
                <w:szCs w:val="20"/>
              </w:rPr>
            </w:pPr>
            <w:r w:rsidRPr="00361B78">
              <w:rPr>
                <w:rFonts w:ascii="Calibri" w:hAnsi="Calibri" w:cs="Arial"/>
                <w:sz w:val="20"/>
                <w:szCs w:val="20"/>
              </w:rPr>
              <w:t>Revisions include:</w:t>
            </w:r>
          </w:p>
          <w:p w:rsidRPr="00361B78" w:rsidR="001B191E" w:rsidP="001B191E" w:rsidRDefault="001B191E" w14:paraId="51C8173C" w14:textId="77777777">
            <w:pPr>
              <w:pStyle w:val="ListParagraph"/>
              <w:numPr>
                <w:ilvl w:val="0"/>
                <w:numId w:val="29"/>
              </w:numPr>
              <w:rPr>
                <w:rFonts w:ascii="Calibri" w:hAnsi="Calibri" w:cs="Arial"/>
                <w:sz w:val="20"/>
                <w:szCs w:val="20"/>
              </w:rPr>
            </w:pPr>
            <w:r w:rsidRPr="00361B78">
              <w:rPr>
                <w:rFonts w:ascii="Calibri" w:hAnsi="Calibri" w:cs="Arial"/>
                <w:sz w:val="20"/>
                <w:szCs w:val="20"/>
              </w:rPr>
              <w:t>Alignment to the QAA UK Quality Code for Higher Education Advice and Guidance: Monitoring and Evaluation.</w:t>
            </w:r>
          </w:p>
          <w:p w:rsidRPr="00361B78" w:rsidR="001B191E" w:rsidP="001B191E" w:rsidRDefault="001B191E" w14:paraId="04303902" w14:textId="77777777">
            <w:pPr>
              <w:pStyle w:val="ListParagraph"/>
              <w:numPr>
                <w:ilvl w:val="0"/>
                <w:numId w:val="29"/>
              </w:numPr>
              <w:rPr>
                <w:rFonts w:ascii="Calibri" w:hAnsi="Calibri" w:cs="Arial"/>
                <w:sz w:val="20"/>
                <w:szCs w:val="20"/>
              </w:rPr>
            </w:pPr>
            <w:r w:rsidRPr="00361B78">
              <w:rPr>
                <w:rFonts w:ascii="Calibri" w:hAnsi="Calibri" w:cs="Arial"/>
                <w:sz w:val="20"/>
                <w:szCs w:val="20"/>
              </w:rPr>
              <w:t>Articulates the 3-step annual monitoring process more clearly, promoting the use of current and historical data to inform analysis and identifying areas for review and enhancement.</w:t>
            </w:r>
          </w:p>
          <w:p w:rsidRPr="00361B78" w:rsidR="001B191E" w:rsidP="001B191E" w:rsidRDefault="001B191E" w14:paraId="4907BDE5" w14:textId="77777777">
            <w:pPr>
              <w:pStyle w:val="ListParagraph"/>
              <w:numPr>
                <w:ilvl w:val="0"/>
                <w:numId w:val="29"/>
              </w:numPr>
              <w:rPr>
                <w:rFonts w:ascii="Calibri" w:hAnsi="Calibri" w:cs="Arial"/>
                <w:sz w:val="20"/>
                <w:szCs w:val="20"/>
              </w:rPr>
            </w:pPr>
            <w:r w:rsidRPr="00361B78">
              <w:rPr>
                <w:rFonts w:ascii="Calibri" w:hAnsi="Calibri" w:cs="Arial"/>
                <w:sz w:val="20"/>
                <w:szCs w:val="20"/>
              </w:rPr>
              <w:t>Clarifies requirements around module reporting process.</w:t>
            </w:r>
          </w:p>
          <w:p w:rsidR="001B191E" w:rsidP="001B191E" w:rsidRDefault="001B191E" w14:paraId="4A0291E2" w14:textId="77777777">
            <w:pPr>
              <w:pStyle w:val="ListParagraph"/>
              <w:numPr>
                <w:ilvl w:val="0"/>
                <w:numId w:val="29"/>
              </w:numPr>
              <w:rPr>
                <w:rFonts w:ascii="Calibri" w:hAnsi="Calibri" w:cs="Arial"/>
                <w:sz w:val="20"/>
                <w:szCs w:val="20"/>
              </w:rPr>
            </w:pPr>
            <w:r w:rsidRPr="00361B78">
              <w:rPr>
                <w:rFonts w:ascii="Calibri" w:hAnsi="Calibri" w:cs="Arial"/>
                <w:sz w:val="20"/>
                <w:szCs w:val="20"/>
              </w:rPr>
              <w:t>Confirms arrangements for the Institutional level report process and resulting summary report.</w:t>
            </w:r>
          </w:p>
          <w:p w:rsidRPr="001B191E" w:rsidR="001B191E" w:rsidP="001B191E" w:rsidRDefault="001B191E" w14:paraId="6838A029" w14:textId="10A2A0E1">
            <w:pPr>
              <w:pStyle w:val="ListParagraph"/>
              <w:numPr>
                <w:ilvl w:val="0"/>
                <w:numId w:val="29"/>
              </w:numPr>
              <w:rPr>
                <w:rFonts w:ascii="Calibri" w:hAnsi="Calibri" w:cs="Arial"/>
                <w:sz w:val="20"/>
                <w:szCs w:val="20"/>
              </w:rPr>
            </w:pPr>
            <w:r w:rsidRPr="001B191E">
              <w:rPr>
                <w:rFonts w:ascii="Calibri" w:hAnsi="Calibri" w:cs="Arial"/>
                <w:sz w:val="20"/>
                <w:szCs w:val="20"/>
              </w:rPr>
              <w:t>Replaces Education Committee with Education Student Experience Committee.</w:t>
            </w:r>
          </w:p>
        </w:tc>
      </w:tr>
      <w:tr w:rsidRPr="002E6BBA" w:rsidR="001B191E" w:rsidTr="005E53B3" w14:paraId="2B4E243D" w14:textId="5F65423F">
        <w:tc>
          <w:tcPr>
            <w:tcW w:w="572" w:type="pct"/>
          </w:tcPr>
          <w:p w:rsidRPr="002E6BBA" w:rsidR="001B191E" w:rsidP="001B191E" w:rsidRDefault="001B191E" w14:paraId="75C6C97E" w14:textId="1154BD24">
            <w:pPr>
              <w:rPr>
                <w:rFonts w:cs="Arial"/>
              </w:rPr>
            </w:pPr>
            <w:r w:rsidRPr="00361B78">
              <w:rPr>
                <w:rFonts w:ascii="Calibri" w:hAnsi="Calibri" w:cs="Arial"/>
                <w:sz w:val="20"/>
                <w:szCs w:val="20"/>
              </w:rPr>
              <w:t>1 02</w:t>
            </w:r>
          </w:p>
        </w:tc>
        <w:tc>
          <w:tcPr>
            <w:tcW w:w="1804" w:type="pct"/>
          </w:tcPr>
          <w:p w:rsidRPr="002E6BBA" w:rsidR="001B191E" w:rsidP="001B191E" w:rsidRDefault="001B191E" w14:paraId="662CE0C1" w14:textId="7AE8C0F3">
            <w:pPr>
              <w:rPr>
                <w:rFonts w:cs="Arial"/>
              </w:rPr>
            </w:pPr>
            <w:r w:rsidRPr="00361B78">
              <w:rPr>
                <w:rFonts w:ascii="Calibri" w:hAnsi="Calibri" w:cs="Arial"/>
                <w:sz w:val="20"/>
                <w:szCs w:val="20"/>
              </w:rPr>
              <w:t>Lisa Tees,</w:t>
            </w:r>
            <w:r w:rsidRPr="00361B78">
              <w:rPr>
                <w:sz w:val="20"/>
                <w:szCs w:val="20"/>
              </w:rPr>
              <w:t xml:space="preserve"> </w:t>
            </w:r>
            <w:r w:rsidRPr="00361B78">
              <w:rPr>
                <w:rFonts w:ascii="Calibri" w:hAnsi="Calibri" w:cs="Arial"/>
                <w:sz w:val="20"/>
                <w:szCs w:val="20"/>
              </w:rPr>
              <w:t>Quality Manager, Quality Support Service</w:t>
            </w:r>
          </w:p>
        </w:tc>
        <w:tc>
          <w:tcPr>
            <w:tcW w:w="984" w:type="pct"/>
          </w:tcPr>
          <w:p w:rsidRPr="002E6BBA" w:rsidR="001B191E" w:rsidP="001B191E" w:rsidRDefault="001B191E" w14:paraId="62B74139" w14:textId="4E3F374B">
            <w:pPr>
              <w:rPr>
                <w:rFonts w:cs="Arial"/>
              </w:rPr>
            </w:pPr>
            <w:r w:rsidRPr="00361B78">
              <w:rPr>
                <w:rFonts w:ascii="Calibri" w:hAnsi="Calibri" w:cs="Arial"/>
                <w:sz w:val="20"/>
                <w:szCs w:val="20"/>
              </w:rPr>
              <w:t xml:space="preserve">Jan 2022, housekeeping, </w:t>
            </w:r>
          </w:p>
        </w:tc>
        <w:tc>
          <w:tcPr>
            <w:tcW w:w="1640" w:type="pct"/>
          </w:tcPr>
          <w:p w:rsidRPr="002E6BBA" w:rsidR="001B191E" w:rsidP="001B191E" w:rsidRDefault="001B191E" w14:paraId="4AAB66AB" w14:textId="6A390C63">
            <w:pPr>
              <w:rPr>
                <w:rFonts w:cs="Arial"/>
              </w:rPr>
            </w:pPr>
            <w:r w:rsidRPr="00361B78">
              <w:rPr>
                <w:rFonts w:ascii="Calibri" w:hAnsi="Calibri" w:cs="Arial"/>
                <w:sz w:val="20"/>
                <w:szCs w:val="20"/>
              </w:rPr>
              <w:t>Version 1 02 has been amended to make clear that the code is for collaborative provision only. On campus provision follows the University Code of Practice: Continual Monitoring, Evaluation and Enhancement (CMEE). Migrated to new template</w:t>
            </w:r>
          </w:p>
        </w:tc>
      </w:tr>
      <w:tr w:rsidRPr="002E6BBA" w:rsidR="00BE7F24" w:rsidTr="005E53B3" w14:paraId="720869D6" w14:textId="2C8E8AA9">
        <w:tc>
          <w:tcPr>
            <w:tcW w:w="572" w:type="pct"/>
          </w:tcPr>
          <w:p w:rsidRPr="002E6BBA" w:rsidR="00BE7F24" w:rsidP="00BE7F24" w:rsidRDefault="00BE7F24" w14:paraId="6FD10DA7" w14:textId="081A1F1F">
            <w:pPr>
              <w:rPr>
                <w:rFonts w:cs="Arial"/>
              </w:rPr>
            </w:pPr>
            <w:r w:rsidRPr="009B01B8">
              <w:rPr>
                <w:rFonts w:ascii="Calibri" w:hAnsi="Calibri" w:cs="Arial"/>
                <w:sz w:val="20"/>
                <w:szCs w:val="20"/>
              </w:rPr>
              <w:t>1 01</w:t>
            </w:r>
          </w:p>
        </w:tc>
        <w:tc>
          <w:tcPr>
            <w:tcW w:w="1804" w:type="pct"/>
          </w:tcPr>
          <w:p w:rsidRPr="002E6BBA" w:rsidR="00BE7F24" w:rsidP="00BE7F24" w:rsidRDefault="00BE7F24" w14:paraId="4205A32C" w14:textId="6D288FD2">
            <w:pPr>
              <w:rPr>
                <w:rFonts w:cs="Arial"/>
              </w:rPr>
            </w:pPr>
            <w:r w:rsidRPr="002960BA">
              <w:rPr>
                <w:rFonts w:ascii="Calibri" w:hAnsi="Calibri" w:cs="Arial"/>
                <w:sz w:val="20"/>
                <w:szCs w:val="20"/>
              </w:rPr>
              <w:t xml:space="preserve">Lisa Tees, Quality Manager, Quality </w:t>
            </w:r>
            <w:r>
              <w:rPr>
                <w:rFonts w:ascii="Calibri" w:hAnsi="Calibri" w:cs="Arial"/>
                <w:sz w:val="20"/>
                <w:szCs w:val="20"/>
              </w:rPr>
              <w:t>Governance</w:t>
            </w:r>
          </w:p>
        </w:tc>
        <w:tc>
          <w:tcPr>
            <w:tcW w:w="984" w:type="pct"/>
          </w:tcPr>
          <w:p w:rsidRPr="002E6BBA" w:rsidR="00BE7F24" w:rsidP="00BE7F24" w:rsidRDefault="00BE7F24" w14:paraId="6D51B137" w14:textId="482267E5">
            <w:pPr>
              <w:rPr>
                <w:rFonts w:cs="Arial"/>
              </w:rPr>
            </w:pPr>
            <w:r w:rsidRPr="009B01B8">
              <w:rPr>
                <w:rFonts w:ascii="Calibri" w:hAnsi="Calibri" w:cs="Arial"/>
                <w:sz w:val="20"/>
                <w:szCs w:val="20"/>
              </w:rPr>
              <w:t>Jan 2020, Housekeeping</w:t>
            </w:r>
          </w:p>
        </w:tc>
        <w:tc>
          <w:tcPr>
            <w:tcW w:w="1640" w:type="pct"/>
          </w:tcPr>
          <w:p w:rsidRPr="002E6BBA" w:rsidR="00BE7F24" w:rsidP="00BE7F24" w:rsidRDefault="00BE7F24" w14:paraId="736A3561" w14:textId="6AF898BA">
            <w:pPr>
              <w:rPr>
                <w:rFonts w:cs="Arial"/>
              </w:rPr>
            </w:pPr>
            <w:r w:rsidRPr="009B01B8">
              <w:rPr>
                <w:rFonts w:ascii="Calibri" w:hAnsi="Calibri" w:cs="Arial"/>
                <w:sz w:val="20"/>
                <w:szCs w:val="20"/>
              </w:rPr>
              <w:t>Amendments to align to revised Code of Practice Standardised Module Review Process, Mid-Module Review and Module Evaluation Questionnaires.</w:t>
            </w:r>
          </w:p>
        </w:tc>
      </w:tr>
      <w:tr w:rsidRPr="002E6BBA" w:rsidR="00BE7F24" w:rsidTr="005E53B3" w14:paraId="745A7F27" w14:textId="77777777">
        <w:tc>
          <w:tcPr>
            <w:tcW w:w="572" w:type="pct"/>
          </w:tcPr>
          <w:p w:rsidRPr="002E6BBA" w:rsidR="00BE7F24" w:rsidP="00BE7F24" w:rsidRDefault="00BE7F24" w14:paraId="1623FC13" w14:textId="5E07FDEC">
            <w:pPr>
              <w:rPr>
                <w:rFonts w:cs="Arial"/>
              </w:rPr>
            </w:pPr>
            <w:r w:rsidRPr="002960BA">
              <w:rPr>
                <w:rFonts w:ascii="Calibri" w:hAnsi="Calibri" w:cs="Arial"/>
                <w:sz w:val="20"/>
                <w:szCs w:val="20"/>
              </w:rPr>
              <w:t>1 00</w:t>
            </w:r>
          </w:p>
        </w:tc>
        <w:tc>
          <w:tcPr>
            <w:tcW w:w="1804" w:type="pct"/>
          </w:tcPr>
          <w:p w:rsidRPr="002E6BBA" w:rsidR="00BE7F24" w:rsidP="00BE7F24" w:rsidRDefault="00BE7F24" w14:paraId="7D8A24D0" w14:textId="73A5255E">
            <w:pPr>
              <w:rPr>
                <w:rFonts w:cs="Arial"/>
              </w:rPr>
            </w:pPr>
            <w:r>
              <w:rPr>
                <w:rFonts w:ascii="Calibri" w:hAnsi="Calibri" w:cs="Arial"/>
                <w:sz w:val="20"/>
                <w:szCs w:val="20"/>
              </w:rPr>
              <w:t>Academic Data Manager, Learning, Teaching and Enhancement</w:t>
            </w:r>
          </w:p>
        </w:tc>
        <w:tc>
          <w:tcPr>
            <w:tcW w:w="984" w:type="pct"/>
          </w:tcPr>
          <w:p w:rsidRPr="002E6BBA" w:rsidR="00BE7F24" w:rsidP="00BE7F24" w:rsidRDefault="00BE7F24" w14:paraId="37B33D71" w14:textId="219770CD">
            <w:pPr>
              <w:rPr>
                <w:rFonts w:cs="Arial"/>
              </w:rPr>
            </w:pPr>
            <w:r w:rsidRPr="002960BA">
              <w:rPr>
                <w:rFonts w:ascii="Calibri" w:hAnsi="Calibri" w:cs="Arial"/>
                <w:sz w:val="20"/>
                <w:szCs w:val="20"/>
              </w:rPr>
              <w:t>Oct 2018, QSC</w:t>
            </w:r>
          </w:p>
        </w:tc>
        <w:tc>
          <w:tcPr>
            <w:tcW w:w="1640" w:type="pct"/>
          </w:tcPr>
          <w:p w:rsidRPr="002E6BBA" w:rsidR="00BE7F24" w:rsidP="00BE7F24" w:rsidRDefault="00BE7F24" w14:paraId="7248F7E2" w14:textId="49CF2072">
            <w:pPr>
              <w:rPr>
                <w:rFonts w:cs="Arial"/>
              </w:rPr>
            </w:pPr>
            <w:r w:rsidRPr="002960BA">
              <w:rPr>
                <w:rFonts w:ascii="Calibri" w:hAnsi="Calibri" w:cs="Arial"/>
                <w:sz w:val="20"/>
                <w:szCs w:val="20"/>
              </w:rPr>
              <w:t>Changed name from Annual Monitoring and Review of Programmes (AMRP) to Annual Monitoring, Review and Enhancement of Programmes (AMREP)</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37C838ED"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3612">
          <w:rPr>
            <w:color w:val="0E1647"/>
            <w:sz w:val="20"/>
            <w:szCs w:val="20"/>
          </w:rPr>
          <w:t>2 00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170CE">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rPr>
          <w:sz w:val="18"/>
          <w:szCs w:val="18"/>
        </w:rPr>
      </w:sdtEndPr>
      <w:sdtContent>
        <w:r w:rsidR="00E170CE">
          <w:rPr>
            <w:color w:val="0E1647"/>
            <w:sz w:val="20"/>
            <w:szCs w:val="20"/>
          </w:rPr>
          <w:t>22 May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AA658B"/>
    <w:multiLevelType w:val="hybridMultilevel"/>
    <w:tmpl w:val="A9AE1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FD11FE"/>
    <w:multiLevelType w:val="hybridMultilevel"/>
    <w:tmpl w:val="225EED2A"/>
    <w:lvl w:ilvl="0" w:tplc="E62A78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2"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3"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4"/>
  </w:num>
  <w:num w:numId="2" w16cid:durableId="43870287">
    <w:abstractNumId w:val="16"/>
  </w:num>
  <w:num w:numId="3" w16cid:durableId="941954303">
    <w:abstractNumId w:val="20"/>
  </w:num>
  <w:num w:numId="4" w16cid:durableId="524560203">
    <w:abstractNumId w:val="0"/>
  </w:num>
  <w:num w:numId="5" w16cid:durableId="1627469934">
    <w:abstractNumId w:val="1"/>
  </w:num>
  <w:num w:numId="6" w16cid:durableId="680661117">
    <w:abstractNumId w:val="17"/>
  </w:num>
  <w:num w:numId="7" w16cid:durableId="618489342">
    <w:abstractNumId w:val="22"/>
  </w:num>
  <w:num w:numId="8" w16cid:durableId="38600704">
    <w:abstractNumId w:val="11"/>
  </w:num>
  <w:num w:numId="9" w16cid:durableId="196748008">
    <w:abstractNumId w:val="18"/>
  </w:num>
  <w:num w:numId="10" w16cid:durableId="674041465">
    <w:abstractNumId w:val="8"/>
  </w:num>
  <w:num w:numId="11" w16cid:durableId="1829788642">
    <w:abstractNumId w:val="7"/>
  </w:num>
  <w:num w:numId="12" w16cid:durableId="1614629240">
    <w:abstractNumId w:val="5"/>
  </w:num>
  <w:num w:numId="13" w16cid:durableId="615139952">
    <w:abstractNumId w:val="23"/>
  </w:num>
  <w:num w:numId="14" w16cid:durableId="1635480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3"/>
  </w:num>
  <w:num w:numId="16" w16cid:durableId="1969389182">
    <w:abstractNumId w:val="4"/>
  </w:num>
  <w:num w:numId="17" w16cid:durableId="181824227">
    <w:abstractNumId w:val="10"/>
  </w:num>
  <w:num w:numId="18" w16cid:durableId="464158055">
    <w:abstractNumId w:val="2"/>
  </w:num>
  <w:num w:numId="19" w16cid:durableId="1785808961">
    <w:abstractNumId w:val="21"/>
  </w:num>
  <w:num w:numId="20" w16cid:durableId="1417629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4"/>
  </w:num>
  <w:num w:numId="24" w16cid:durableId="2128428633">
    <w:abstractNumId w:val="6"/>
  </w:num>
  <w:num w:numId="25" w16cid:durableId="1281495573">
    <w:abstractNumId w:val="19"/>
  </w:num>
  <w:num w:numId="26" w16cid:durableId="121654258">
    <w:abstractNumId w:val="12"/>
  </w:num>
  <w:num w:numId="27" w16cid:durableId="195434652">
    <w:abstractNumId w:val="12"/>
  </w:num>
  <w:num w:numId="28" w16cid:durableId="313721826">
    <w:abstractNumId w:val="15"/>
  </w:num>
  <w:num w:numId="29" w16cid:durableId="1324819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3612"/>
    <w:rsid w:val="001343EE"/>
    <w:rsid w:val="001368F4"/>
    <w:rsid w:val="001419EB"/>
    <w:rsid w:val="00142844"/>
    <w:rsid w:val="00143EC2"/>
    <w:rsid w:val="001443DC"/>
    <w:rsid w:val="00144FF0"/>
    <w:rsid w:val="00147726"/>
    <w:rsid w:val="00147CA2"/>
    <w:rsid w:val="00165927"/>
    <w:rsid w:val="00182E6C"/>
    <w:rsid w:val="00186E2C"/>
    <w:rsid w:val="001914CE"/>
    <w:rsid w:val="00191ACC"/>
    <w:rsid w:val="001A22C9"/>
    <w:rsid w:val="001A700C"/>
    <w:rsid w:val="001B191E"/>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A3FFB"/>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443"/>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54EF3"/>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337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97323"/>
    <w:rsid w:val="00BA2431"/>
    <w:rsid w:val="00BA34E2"/>
    <w:rsid w:val="00BA3E7F"/>
    <w:rsid w:val="00BA6378"/>
    <w:rsid w:val="00BA6837"/>
    <w:rsid w:val="00BA6B87"/>
    <w:rsid w:val="00BB08BF"/>
    <w:rsid w:val="00BC136E"/>
    <w:rsid w:val="00BC26B9"/>
    <w:rsid w:val="00BC5840"/>
    <w:rsid w:val="00BD6045"/>
    <w:rsid w:val="00BE2156"/>
    <w:rsid w:val="00BE7F24"/>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4D7B"/>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170CE"/>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D34D7B"/>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D34D7B"/>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A3FFB"/>
    <w:rsid w:val="00441CBD"/>
    <w:rsid w:val="0054449F"/>
    <w:rsid w:val="00544843"/>
    <w:rsid w:val="005C4CE9"/>
    <w:rsid w:val="0061337A"/>
    <w:rsid w:val="00627A49"/>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2023-05-22T00:00:00</PublishDate>
  <Abstract>Annual Monitoring, Review and Enhancement of Programmes (AMREP) Collaborative Provision</Abstract>
  <CompanyAddress/>
  <CompanyPhone/>
  <CompanyFax/>
  <CompanyEmail/>
</CoverPage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3.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UCoP-Annual-Monitoring-Review-Enhancement-of-Progs-v2-00-Aug-2024-new-template-only</dc:title>
  <dc:subject>
  </dc:subject>
  <dc:creator>Katie J Skilton</dc:creator>
  <cp:keywords>
  </cp:keywords>
  <dc:description>
  </dc:description>
  <cp:lastModifiedBy>Catie Winter</cp:lastModifiedBy>
  <cp:revision>33</cp:revision>
  <cp:lastPrinted>2018-01-15T16:18:00Z</cp:lastPrinted>
  <dcterms:created xsi:type="dcterms:W3CDTF">2024-03-15T12:22:00Z</dcterms:created>
  <dcterms:modified xsi:type="dcterms:W3CDTF">2025-07-29T08:19:15Z</dcterms:modified>
  <cp:contentStatus>2 00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