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5CC4" w:rsidRDefault="000A5CC4" w14:paraId="2D609A84" w14:textId="77777777"/>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7902FA" w:rsidRDefault="007902FA" w14:paraId="441537AB" w14:textId="64EEF723">
                <w:pPr>
                  <w:spacing w:before="40" w:after="40"/>
                  <w:jc w:val="center"/>
                  <w:rPr>
                    <w:rFonts w:ascii="Calibri" w:hAnsi="Calibri"/>
                    <w:b w:val="0"/>
                    <w:bCs w:val="0"/>
                    <w:sz w:val="28"/>
                    <w:szCs w:val="28"/>
                  </w:rPr>
                </w:pPr>
                <w:r w:rsidRPr="007902FA">
                  <w:rPr>
                    <w:rFonts w:ascii="Calibri" w:hAnsi="Calibri"/>
                    <w:sz w:val="28"/>
                    <w:szCs w:val="28"/>
                  </w:rPr>
                  <w:t xml:space="preserve">Doctor of Psychology (PsyD) by </w:t>
                </w:r>
                <w:r w:rsidRPr="008C2C31" w:rsidR="008C2C31">
                  <w:rPr>
                    <w:rFonts w:ascii="Calibri" w:hAnsi="Calibri"/>
                    <w:sz w:val="28"/>
                    <w:szCs w:val="28"/>
                  </w:rPr>
                  <w:t>Thesis</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77777777">
            <w:pPr>
              <w:spacing w:before="40" w:after="40"/>
              <w:jc w:val="center"/>
              <w:rPr>
                <w:rFonts w:ascii="Calibri" w:hAnsi="Calibri"/>
                <w:sz w:val="28"/>
                <w:szCs w:val="28"/>
              </w:rPr>
            </w:pPr>
          </w:p>
          <w:p w:rsidR="000A5CC4" w:rsidP="00580259" w:rsidRDefault="000A5CC4" w14:paraId="57A724CB" w14:textId="1501BB09">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2ED4C94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shd w:val="clear" w:color="auto" w:fill="auto"/>
              </w:tcPr>
              <w:p w:rsidRPr="00795C1A" w:rsidR="00B93213" w:rsidP="00D92F00" w:rsidRDefault="00725DC7" w14:paraId="40376BAB" w14:textId="77945B5E">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2-11</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622221" w14:paraId="1B520532" w14:textId="7F39D39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622221" w:rsidRDefault="00622221" w14:paraId="4C836476" w14:textId="2801A66D">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dateFormat w:val="dd/MM/yyyy"/>
              <w:lid w:val="en-GB"/>
              <w:storeMappedDataAs w:val="dateTime"/>
              <w:calendar w:val="gregorian"/>
            </w:date>
          </w:sdtPr>
          <w:sdtEndPr/>
          <w:sdtContent>
            <w:tc>
              <w:tcPr>
                <w:tcW w:w="6946" w:type="dxa"/>
                <w:shd w:val="clear" w:color="auto" w:fill="auto"/>
              </w:tcPr>
              <w:p w:rsidRPr="00795C1A" w:rsidR="00B93213" w:rsidP="00781240" w:rsidRDefault="00CB4F3E" w14:paraId="01BC3F01" w14:textId="1F605314">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w:t>
                </w:r>
                <w:r w:rsidR="00F92B40">
                  <w:rPr>
                    <w:rFonts w:ascii="Calibri" w:hAnsi="Calibri"/>
                    <w:sz w:val="20"/>
                    <w:szCs w:val="20"/>
                  </w:rPr>
                  <w:t>1</w:t>
                </w:r>
                <w:r w:rsidR="00622221">
                  <w:rPr>
                    <w:rFonts w:ascii="Calibri" w:hAnsi="Calibri"/>
                    <w:sz w:val="20"/>
                    <w:szCs w:val="20"/>
                  </w:rPr>
                  <w:t>/0</w:t>
                </w:r>
                <w:r>
                  <w:rPr>
                    <w:rFonts w:ascii="Calibri" w:hAnsi="Calibri"/>
                    <w:sz w:val="20"/>
                    <w:szCs w:val="20"/>
                  </w:rPr>
                  <w:t>7</w:t>
                </w:r>
                <w:r w:rsidR="00622221">
                  <w:rPr>
                    <w:rFonts w:ascii="Calibri" w:hAnsi="Calibri"/>
                    <w:sz w:val="20"/>
                    <w:szCs w:val="20"/>
                  </w:rPr>
                  <w:t>/20</w:t>
                </w:r>
                <w:r w:rsidR="00F92B40">
                  <w:rPr>
                    <w:rFonts w:ascii="Calibri" w:hAnsi="Calibri"/>
                    <w:sz w:val="20"/>
                    <w:szCs w:val="20"/>
                  </w:rPr>
                  <w:t>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781240" w:rsidRDefault="00622221" w14:paraId="4B9731B5" w14:textId="711460F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w:t>
                </w:r>
                <w:r w:rsidR="00F92B40">
                  <w:rPr>
                    <w:rFonts w:ascii="Calibri" w:hAnsi="Calibri"/>
                    <w:sz w:val="20"/>
                    <w:szCs w:val="20"/>
                  </w:rPr>
                  <w:t>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dateFormat w:val="dd/MM/yyyy"/>
              <w:lid w:val="en-GB"/>
              <w:storeMappedDataAs w:val="dateTime"/>
              <w:calendar w:val="gregorian"/>
            </w:date>
          </w:sdtPr>
          <w:sdtEndPr/>
          <w:sdtContent>
            <w:tc>
              <w:tcPr>
                <w:tcW w:w="6946" w:type="dxa"/>
                <w:shd w:val="clear" w:color="auto" w:fill="auto"/>
              </w:tcPr>
              <w:p w:rsidRPr="00795C1A" w:rsidR="00B93213" w:rsidP="002E6FFE" w:rsidRDefault="00622221" w14:paraId="7E61A690" w14:textId="3A6BDEE1">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202</w:t>
                </w:r>
                <w:r w:rsidR="00F92B40">
                  <w:rPr>
                    <w:rFonts w:ascii="Calibri" w:hAnsi="Calibri"/>
                    <w:sz w:val="20"/>
                    <w:szCs w:val="20"/>
                  </w:rPr>
                  <w:t>6</w:t>
                </w:r>
                <w:r w:rsidR="00CB4F3E">
                  <w:rPr>
                    <w:rFonts w:ascii="Calibri" w:hAnsi="Calibri"/>
                    <w:sz w:val="20"/>
                    <w:szCs w:val="20"/>
                  </w:rPr>
                  <w:t>/2</w:t>
                </w:r>
                <w:r w:rsidR="00F92B40">
                  <w:rPr>
                    <w:rFonts w:ascii="Calibri" w:hAnsi="Calibri"/>
                    <w:sz w:val="20"/>
                    <w:szCs w:val="20"/>
                  </w:rPr>
                  <w:t>7</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58702A" w:rsidRDefault="0058702A" w14:paraId="52F7977B" w14:textId="3D0D76BF">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r w:rsidR="00622221">
                  <w:rPr>
                    <w:rFonts w:ascii="Calibri" w:hAnsi="Calibri"/>
                    <w:sz w:val="20"/>
                    <w:szCs w:val="20"/>
                  </w:rPr>
                  <w:t>/</w:t>
                </w:r>
                <w:r w:rsidR="00CB4F3E">
                  <w:rPr>
                    <w:rFonts w:ascii="Calibri" w:hAnsi="Calibri"/>
                    <w:sz w:val="20"/>
                    <w:szCs w:val="20"/>
                  </w:rPr>
                  <w:t>Academic</w:t>
                </w:r>
                <w:r w:rsidR="00622221">
                  <w:rPr>
                    <w:rFonts w:ascii="Calibri" w:hAnsi="Calibri"/>
                    <w:sz w:val="20"/>
                    <w:szCs w:val="20"/>
                  </w:rPr>
                  <w:t xml:space="preserve"> Services</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622221" w:rsidRDefault="00F92B40" w14:paraId="34A4D006" w14:textId="78EBCE7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22221">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58702A" w:rsidRDefault="0058702A" w14:paraId="4998D8DD" w14:textId="0069FD88">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622221" w:rsidRDefault="00B938AF" w14:paraId="7E072BF9" w14:textId="2A03FB83">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Not Applicable</w:t>
            </w:r>
            <w:r w:rsidR="00616569">
              <w:rPr>
                <w:rFonts w:ascii="Calibri" w:hAnsi="Calibri"/>
                <w:sz w:val="20"/>
                <w:szCs w:val="20"/>
              </w:rPr>
              <w:tab/>
            </w:r>
            <w:r w:rsidR="00616569">
              <w:rPr>
                <w:rFonts w:ascii="Calibri" w:hAnsi="Calibri"/>
                <w:sz w:val="20"/>
                <w:szCs w:val="20"/>
              </w:rPr>
              <w:tab/>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09392E" w:rsidRDefault="007902FA" w14:paraId="50E9F400" w14:textId="3A82AB1E">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7902FA">
                  <w:rPr>
                    <w:rFonts w:ascii="Calibri" w:hAnsi="Calibri"/>
                    <w:sz w:val="20"/>
                    <w:szCs w:val="20"/>
                  </w:rPr>
                  <w:t xml:space="preserve">UK Quality Code for Higher Education (QAA), for example The Frameworks for Higher Education Qualifications of UK Degree-Awarding Bodies (Nov 14) and the Higher Education Credit Framework for England: Advice on Academic Credit Arrangements (May 21).  </w:t>
                </w:r>
              </w:p>
            </w:tc>
          </w:sdtContent>
        </w:sdt>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622221" w:rsidRDefault="00F92B40" w14:paraId="1A383E72" w14:textId="5D8C8322">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00622221">
                  <w:rPr>
                    <w:rFonts w:ascii="Calibri" w:hAnsi="Calibri"/>
                    <w:sz w:val="20"/>
                    <w:szCs w:val="20"/>
                  </w:rPr>
                  <w:t xml:space="preserve">Quality and Standards website – Programme Regulations.  </w:t>
                </w:r>
              </w:sdtContent>
            </w:sdt>
            <w:hyperlink w:history="1" r:id="rId12">
              <w:r w:rsidRPr="0036713E" w:rsidR="00622221">
                <w:rPr>
                  <w:rFonts w:eastAsiaTheme="minorEastAsia"/>
                  <w:color w:val="0000FF"/>
                  <w:u w:val="single"/>
                  <w:lang w:eastAsia="zh-CN"/>
                </w:rPr>
                <w:t>Quality and Standards | University of Hull</w:t>
              </w:r>
            </w:hyperlink>
          </w:p>
        </w:tc>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3">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335CF0B2">
      <w:pPr>
        <w:rPr>
          <w:sz w:val="24"/>
        </w:rPr>
        <w:sectPr w:rsidR="00B93213" w:rsidSect="00B93213">
          <w:headerReference w:type="default" r:id="rId14"/>
          <w:footerReference w:type="default" r:id="rId15"/>
          <w:headerReference w:type="first" r:id="rId16"/>
          <w:footerReference w:type="first" r:id="rId17"/>
          <w:pgSz w:w="11910" w:h="16840"/>
          <w:pgMar w:top="1276" w:right="1420" w:bottom="1134" w:left="1418" w:header="720" w:footer="720" w:gutter="0"/>
          <w:cols w:space="720"/>
          <w:titlePg/>
          <w:docGrid w:linePitch="299"/>
        </w:sectPr>
      </w:pPr>
    </w:p>
    <w:p w:rsidR="00680727" w:rsidP="00680727" w:rsidRDefault="00680727" w14:paraId="360192F0" w14:textId="7F0F7437">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C05255" w:rsidRDefault="00680727" w14:paraId="2459F6D7" w14:textId="77777777">
            <w:pPr>
              <w:spacing w:before="40" w:after="40"/>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13120784"/>
              <w:placeholder>
                <w:docPart w:val="50ACBB78B4724C1EAD3D454C9314D6C9"/>
              </w:placeholder>
            </w:sdtPr>
            <w:sdtEndPr/>
            <w:sdtContent>
              <w:p w:rsidRPr="00680727" w:rsidR="00680727" w:rsidP="0009392E" w:rsidRDefault="007902FA" w14:paraId="756EC18C" w14:textId="7CCAA41F">
                <w:pPr>
                  <w:spacing w:before="40" w:after="40"/>
                  <w:jc w:val="center"/>
                  <w:rPr>
                    <w:rFonts w:ascii="Calibri" w:hAnsi="Calibri"/>
                    <w:sz w:val="28"/>
                    <w:szCs w:val="28"/>
                  </w:rPr>
                </w:pPr>
                <w:r w:rsidRPr="007902FA">
                  <w:rPr>
                    <w:rFonts w:ascii="Calibri" w:hAnsi="Calibri"/>
                    <w:sz w:val="28"/>
                    <w:szCs w:val="28"/>
                  </w:rPr>
                  <w:t>Doctor of Psychology (PsyD) by Thesis</w:t>
                </w:r>
              </w:p>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00F24D55" w:rsidP="00C557E3" w:rsidRDefault="00F24D55" w14:paraId="476B48A2" w14:textId="64F18A9A">
          <w:pPr>
            <w:pStyle w:val="TOCHeading"/>
            <w:numPr>
              <w:ilvl w:val="0"/>
              <w:numId w:val="0"/>
            </w:numPr>
          </w:pPr>
          <w:r>
            <w:t>Table of Contents</w:t>
          </w:r>
        </w:p>
        <w:p w:rsidR="00BA29B8" w:rsidRDefault="00F24D55" w14:paraId="2F04ED56" w14:textId="24A3EAA8">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42400281">
            <w:r w:rsidRPr="00E1654F" w:rsidR="00BA29B8">
              <w:rPr>
                <w:rStyle w:val="Hyperlink"/>
                <w:noProof/>
              </w:rPr>
              <w:t>Introduction</w:t>
            </w:r>
            <w:r w:rsidR="00BA29B8">
              <w:rPr>
                <w:noProof/>
                <w:webHidden/>
              </w:rPr>
              <w:tab/>
            </w:r>
            <w:r w:rsidR="00BA29B8">
              <w:rPr>
                <w:noProof/>
                <w:webHidden/>
              </w:rPr>
              <w:fldChar w:fldCharType="begin"/>
            </w:r>
            <w:r w:rsidR="00BA29B8">
              <w:rPr>
                <w:noProof/>
                <w:webHidden/>
              </w:rPr>
              <w:instrText xml:space="preserve"> PAGEREF _Toc142400281 \h </w:instrText>
            </w:r>
            <w:r w:rsidR="00BA29B8">
              <w:rPr>
                <w:noProof/>
                <w:webHidden/>
              </w:rPr>
            </w:r>
            <w:r w:rsidR="00BA29B8">
              <w:rPr>
                <w:noProof/>
                <w:webHidden/>
              </w:rPr>
              <w:fldChar w:fldCharType="separate"/>
            </w:r>
            <w:r w:rsidR="00BA29B8">
              <w:rPr>
                <w:noProof/>
                <w:webHidden/>
              </w:rPr>
              <w:t>4</w:t>
            </w:r>
            <w:r w:rsidR="00BA29B8">
              <w:rPr>
                <w:noProof/>
                <w:webHidden/>
              </w:rPr>
              <w:fldChar w:fldCharType="end"/>
            </w:r>
          </w:hyperlink>
        </w:p>
        <w:p w:rsidR="00BA29B8" w:rsidRDefault="00BA29B8" w14:paraId="6B11B5B6" w14:textId="50212712">
          <w:pPr>
            <w:pStyle w:val="TOC1"/>
            <w:rPr>
              <w:rFonts w:cstheme="minorBidi"/>
              <w:noProof/>
              <w:kern w:val="2"/>
              <w:lang w:val="en-GB" w:eastAsia="en-GB"/>
              <w14:ligatures w14:val="standardContextual"/>
            </w:rPr>
          </w:pPr>
          <w:hyperlink w:history="1" w:anchor="_Toc142400282">
            <w:r w:rsidRPr="00E1654F">
              <w:rPr>
                <w:rStyle w:val="Hyperlink"/>
                <w:noProof/>
              </w:rPr>
              <w:t>ADMISSION AND ENROLMENT</w:t>
            </w:r>
            <w:r>
              <w:rPr>
                <w:noProof/>
                <w:webHidden/>
              </w:rPr>
              <w:tab/>
            </w:r>
            <w:r>
              <w:rPr>
                <w:noProof/>
                <w:webHidden/>
              </w:rPr>
              <w:fldChar w:fldCharType="begin"/>
            </w:r>
            <w:r>
              <w:rPr>
                <w:noProof/>
                <w:webHidden/>
              </w:rPr>
              <w:instrText xml:space="preserve"> PAGEREF _Toc142400282 \h </w:instrText>
            </w:r>
            <w:r>
              <w:rPr>
                <w:noProof/>
                <w:webHidden/>
              </w:rPr>
            </w:r>
            <w:r>
              <w:rPr>
                <w:noProof/>
                <w:webHidden/>
              </w:rPr>
              <w:fldChar w:fldCharType="separate"/>
            </w:r>
            <w:r>
              <w:rPr>
                <w:noProof/>
                <w:webHidden/>
              </w:rPr>
              <w:t>4</w:t>
            </w:r>
            <w:r>
              <w:rPr>
                <w:noProof/>
                <w:webHidden/>
              </w:rPr>
              <w:fldChar w:fldCharType="end"/>
            </w:r>
          </w:hyperlink>
        </w:p>
        <w:p w:rsidR="00BA29B8" w:rsidRDefault="00BA29B8" w14:paraId="2174ED2C" w14:textId="09D35A84">
          <w:pPr>
            <w:pStyle w:val="TOC1"/>
            <w:rPr>
              <w:rFonts w:cstheme="minorBidi"/>
              <w:noProof/>
              <w:kern w:val="2"/>
              <w:lang w:val="en-GB" w:eastAsia="en-GB"/>
              <w14:ligatures w14:val="standardContextual"/>
            </w:rPr>
          </w:pPr>
          <w:hyperlink w:history="1" w:anchor="_Toc142400283">
            <w:r w:rsidRPr="00E1654F">
              <w:rPr>
                <w:rStyle w:val="Hyperlink"/>
                <w:noProof/>
              </w:rPr>
              <w:t>1.</w:t>
            </w:r>
            <w:r>
              <w:rPr>
                <w:rFonts w:cstheme="minorBidi"/>
                <w:noProof/>
                <w:kern w:val="2"/>
                <w:lang w:val="en-GB" w:eastAsia="en-GB"/>
                <w14:ligatures w14:val="standardContextual"/>
              </w:rPr>
              <w:tab/>
            </w:r>
            <w:r w:rsidRPr="00E1654F">
              <w:rPr>
                <w:rStyle w:val="Hyperlink"/>
                <w:noProof/>
              </w:rPr>
              <w:t>Academic Year</w:t>
            </w:r>
            <w:r>
              <w:rPr>
                <w:noProof/>
                <w:webHidden/>
              </w:rPr>
              <w:tab/>
            </w:r>
            <w:r>
              <w:rPr>
                <w:noProof/>
                <w:webHidden/>
              </w:rPr>
              <w:fldChar w:fldCharType="begin"/>
            </w:r>
            <w:r>
              <w:rPr>
                <w:noProof/>
                <w:webHidden/>
              </w:rPr>
              <w:instrText xml:space="preserve"> PAGEREF _Toc142400283 \h </w:instrText>
            </w:r>
            <w:r>
              <w:rPr>
                <w:noProof/>
                <w:webHidden/>
              </w:rPr>
            </w:r>
            <w:r>
              <w:rPr>
                <w:noProof/>
                <w:webHidden/>
              </w:rPr>
              <w:fldChar w:fldCharType="separate"/>
            </w:r>
            <w:r>
              <w:rPr>
                <w:noProof/>
                <w:webHidden/>
              </w:rPr>
              <w:t>4</w:t>
            </w:r>
            <w:r>
              <w:rPr>
                <w:noProof/>
                <w:webHidden/>
              </w:rPr>
              <w:fldChar w:fldCharType="end"/>
            </w:r>
          </w:hyperlink>
        </w:p>
        <w:p w:rsidR="00BA29B8" w:rsidRDefault="00BA29B8" w14:paraId="1DBB73BF" w14:textId="28FCCC89">
          <w:pPr>
            <w:pStyle w:val="TOC1"/>
            <w:rPr>
              <w:rFonts w:cstheme="minorBidi"/>
              <w:noProof/>
              <w:kern w:val="2"/>
              <w:lang w:val="en-GB" w:eastAsia="en-GB"/>
              <w14:ligatures w14:val="standardContextual"/>
            </w:rPr>
          </w:pPr>
          <w:hyperlink w:history="1" w:anchor="_Toc142400284">
            <w:r w:rsidRPr="00E1654F">
              <w:rPr>
                <w:rStyle w:val="Hyperlink"/>
                <w:noProof/>
              </w:rPr>
              <w:t>2.</w:t>
            </w:r>
            <w:r>
              <w:rPr>
                <w:rFonts w:cstheme="minorBidi"/>
                <w:noProof/>
                <w:kern w:val="2"/>
                <w:lang w:val="en-GB" w:eastAsia="en-GB"/>
                <w14:ligatures w14:val="standardContextual"/>
              </w:rPr>
              <w:tab/>
            </w:r>
            <w:r w:rsidRPr="00E1654F">
              <w:rPr>
                <w:rStyle w:val="Hyperlink"/>
                <w:noProof/>
              </w:rPr>
              <w:t>Admission to a Programme</w:t>
            </w:r>
            <w:r>
              <w:rPr>
                <w:noProof/>
                <w:webHidden/>
              </w:rPr>
              <w:tab/>
            </w:r>
            <w:r>
              <w:rPr>
                <w:noProof/>
                <w:webHidden/>
              </w:rPr>
              <w:fldChar w:fldCharType="begin"/>
            </w:r>
            <w:r>
              <w:rPr>
                <w:noProof/>
                <w:webHidden/>
              </w:rPr>
              <w:instrText xml:space="preserve"> PAGEREF _Toc142400284 \h </w:instrText>
            </w:r>
            <w:r>
              <w:rPr>
                <w:noProof/>
                <w:webHidden/>
              </w:rPr>
            </w:r>
            <w:r>
              <w:rPr>
                <w:noProof/>
                <w:webHidden/>
              </w:rPr>
              <w:fldChar w:fldCharType="separate"/>
            </w:r>
            <w:r>
              <w:rPr>
                <w:noProof/>
                <w:webHidden/>
              </w:rPr>
              <w:t>4</w:t>
            </w:r>
            <w:r>
              <w:rPr>
                <w:noProof/>
                <w:webHidden/>
              </w:rPr>
              <w:fldChar w:fldCharType="end"/>
            </w:r>
          </w:hyperlink>
        </w:p>
        <w:p w:rsidR="00BA29B8" w:rsidRDefault="00BA29B8" w14:paraId="3B543A28" w14:textId="7515DAC7">
          <w:pPr>
            <w:pStyle w:val="TOC1"/>
            <w:rPr>
              <w:rFonts w:cstheme="minorBidi"/>
              <w:noProof/>
              <w:kern w:val="2"/>
              <w:lang w:val="en-GB" w:eastAsia="en-GB"/>
              <w14:ligatures w14:val="standardContextual"/>
            </w:rPr>
          </w:pPr>
          <w:hyperlink w:history="1" w:anchor="_Toc142400285">
            <w:r w:rsidRPr="00E1654F">
              <w:rPr>
                <w:rStyle w:val="Hyperlink"/>
                <w:noProof/>
              </w:rPr>
              <w:t>3.</w:t>
            </w:r>
            <w:r>
              <w:rPr>
                <w:rFonts w:cstheme="minorBidi"/>
                <w:noProof/>
                <w:kern w:val="2"/>
                <w:lang w:val="en-GB" w:eastAsia="en-GB"/>
                <w14:ligatures w14:val="standardContextual"/>
              </w:rPr>
              <w:tab/>
            </w:r>
            <w:r w:rsidRPr="00E1654F">
              <w:rPr>
                <w:rStyle w:val="Hyperlink"/>
                <w:noProof/>
              </w:rPr>
              <w:t>Duration of prescribed period of study</w:t>
            </w:r>
            <w:r>
              <w:rPr>
                <w:noProof/>
                <w:webHidden/>
              </w:rPr>
              <w:tab/>
            </w:r>
            <w:r>
              <w:rPr>
                <w:noProof/>
                <w:webHidden/>
              </w:rPr>
              <w:fldChar w:fldCharType="begin"/>
            </w:r>
            <w:r>
              <w:rPr>
                <w:noProof/>
                <w:webHidden/>
              </w:rPr>
              <w:instrText xml:space="preserve"> PAGEREF _Toc142400285 \h </w:instrText>
            </w:r>
            <w:r>
              <w:rPr>
                <w:noProof/>
                <w:webHidden/>
              </w:rPr>
            </w:r>
            <w:r>
              <w:rPr>
                <w:noProof/>
                <w:webHidden/>
              </w:rPr>
              <w:fldChar w:fldCharType="separate"/>
            </w:r>
            <w:r>
              <w:rPr>
                <w:noProof/>
                <w:webHidden/>
              </w:rPr>
              <w:t>4</w:t>
            </w:r>
            <w:r>
              <w:rPr>
                <w:noProof/>
                <w:webHidden/>
              </w:rPr>
              <w:fldChar w:fldCharType="end"/>
            </w:r>
          </w:hyperlink>
        </w:p>
        <w:p w:rsidR="00BA29B8" w:rsidRDefault="00BA29B8" w14:paraId="2947ED38" w14:textId="08B5B07E">
          <w:pPr>
            <w:pStyle w:val="TOC1"/>
            <w:rPr>
              <w:rFonts w:cstheme="minorBidi"/>
              <w:noProof/>
              <w:kern w:val="2"/>
              <w:lang w:val="en-GB" w:eastAsia="en-GB"/>
              <w14:ligatures w14:val="standardContextual"/>
            </w:rPr>
          </w:pPr>
          <w:hyperlink w:history="1" w:anchor="_Toc142400286">
            <w:r w:rsidRPr="00E1654F">
              <w:rPr>
                <w:rStyle w:val="Hyperlink"/>
                <w:noProof/>
              </w:rPr>
              <w:t>4.</w:t>
            </w:r>
            <w:r>
              <w:rPr>
                <w:rFonts w:cstheme="minorBidi"/>
                <w:noProof/>
                <w:kern w:val="2"/>
                <w:lang w:val="en-GB" w:eastAsia="en-GB"/>
                <w14:ligatures w14:val="standardContextual"/>
              </w:rPr>
              <w:tab/>
            </w:r>
            <w:r w:rsidRPr="00E1654F">
              <w:rPr>
                <w:rStyle w:val="Hyperlink"/>
                <w:noProof/>
              </w:rPr>
              <w:t>Candidates who are member of staff of the University</w:t>
            </w:r>
            <w:r>
              <w:rPr>
                <w:noProof/>
                <w:webHidden/>
              </w:rPr>
              <w:tab/>
            </w:r>
            <w:r>
              <w:rPr>
                <w:noProof/>
                <w:webHidden/>
              </w:rPr>
              <w:fldChar w:fldCharType="begin"/>
            </w:r>
            <w:r>
              <w:rPr>
                <w:noProof/>
                <w:webHidden/>
              </w:rPr>
              <w:instrText xml:space="preserve"> PAGEREF _Toc142400286 \h </w:instrText>
            </w:r>
            <w:r>
              <w:rPr>
                <w:noProof/>
                <w:webHidden/>
              </w:rPr>
            </w:r>
            <w:r>
              <w:rPr>
                <w:noProof/>
                <w:webHidden/>
              </w:rPr>
              <w:fldChar w:fldCharType="separate"/>
            </w:r>
            <w:r>
              <w:rPr>
                <w:noProof/>
                <w:webHidden/>
              </w:rPr>
              <w:t>4</w:t>
            </w:r>
            <w:r>
              <w:rPr>
                <w:noProof/>
                <w:webHidden/>
              </w:rPr>
              <w:fldChar w:fldCharType="end"/>
            </w:r>
          </w:hyperlink>
        </w:p>
        <w:p w:rsidR="00BA29B8" w:rsidRDefault="00BA29B8" w14:paraId="47644B45" w14:textId="3E6B3441">
          <w:pPr>
            <w:pStyle w:val="TOC1"/>
            <w:rPr>
              <w:rFonts w:cstheme="minorBidi"/>
              <w:noProof/>
              <w:kern w:val="2"/>
              <w:lang w:val="en-GB" w:eastAsia="en-GB"/>
              <w14:ligatures w14:val="standardContextual"/>
            </w:rPr>
          </w:pPr>
          <w:hyperlink w:history="1" w:anchor="_Toc142400287">
            <w:r w:rsidRPr="00E1654F">
              <w:rPr>
                <w:rStyle w:val="Hyperlink"/>
                <w:noProof/>
              </w:rPr>
              <w:t>SUPERVISION AND PROGRESS MONITORING</w:t>
            </w:r>
            <w:r>
              <w:rPr>
                <w:noProof/>
                <w:webHidden/>
              </w:rPr>
              <w:tab/>
            </w:r>
            <w:r>
              <w:rPr>
                <w:noProof/>
                <w:webHidden/>
              </w:rPr>
              <w:fldChar w:fldCharType="begin"/>
            </w:r>
            <w:r>
              <w:rPr>
                <w:noProof/>
                <w:webHidden/>
              </w:rPr>
              <w:instrText xml:space="preserve"> PAGEREF _Toc142400287 \h </w:instrText>
            </w:r>
            <w:r>
              <w:rPr>
                <w:noProof/>
                <w:webHidden/>
              </w:rPr>
            </w:r>
            <w:r>
              <w:rPr>
                <w:noProof/>
                <w:webHidden/>
              </w:rPr>
              <w:fldChar w:fldCharType="separate"/>
            </w:r>
            <w:r>
              <w:rPr>
                <w:noProof/>
                <w:webHidden/>
              </w:rPr>
              <w:t>5</w:t>
            </w:r>
            <w:r>
              <w:rPr>
                <w:noProof/>
                <w:webHidden/>
              </w:rPr>
              <w:fldChar w:fldCharType="end"/>
            </w:r>
          </w:hyperlink>
        </w:p>
        <w:p w:rsidR="00BA29B8" w:rsidRDefault="00BA29B8" w14:paraId="6DA86C4E" w14:textId="107B8C6A">
          <w:pPr>
            <w:pStyle w:val="TOC1"/>
            <w:rPr>
              <w:rFonts w:cstheme="minorBidi"/>
              <w:noProof/>
              <w:kern w:val="2"/>
              <w:lang w:val="en-GB" w:eastAsia="en-GB"/>
              <w14:ligatures w14:val="standardContextual"/>
            </w:rPr>
          </w:pPr>
          <w:hyperlink w:history="1" w:anchor="_Toc142400288">
            <w:r w:rsidRPr="00E1654F">
              <w:rPr>
                <w:rStyle w:val="Hyperlink"/>
                <w:noProof/>
              </w:rPr>
              <w:t>5.</w:t>
            </w:r>
            <w:r>
              <w:rPr>
                <w:rFonts w:cstheme="minorBidi"/>
                <w:noProof/>
                <w:kern w:val="2"/>
                <w:lang w:val="en-GB" w:eastAsia="en-GB"/>
                <w14:ligatures w14:val="standardContextual"/>
              </w:rPr>
              <w:tab/>
            </w:r>
            <w:r w:rsidRPr="00E1654F">
              <w:rPr>
                <w:rStyle w:val="Hyperlink"/>
                <w:noProof/>
              </w:rPr>
              <w:t>Supervision</w:t>
            </w:r>
            <w:r>
              <w:rPr>
                <w:noProof/>
                <w:webHidden/>
              </w:rPr>
              <w:tab/>
            </w:r>
            <w:r>
              <w:rPr>
                <w:noProof/>
                <w:webHidden/>
              </w:rPr>
              <w:fldChar w:fldCharType="begin"/>
            </w:r>
            <w:r>
              <w:rPr>
                <w:noProof/>
                <w:webHidden/>
              </w:rPr>
              <w:instrText xml:space="preserve"> PAGEREF _Toc142400288 \h </w:instrText>
            </w:r>
            <w:r>
              <w:rPr>
                <w:noProof/>
                <w:webHidden/>
              </w:rPr>
            </w:r>
            <w:r>
              <w:rPr>
                <w:noProof/>
                <w:webHidden/>
              </w:rPr>
              <w:fldChar w:fldCharType="separate"/>
            </w:r>
            <w:r>
              <w:rPr>
                <w:noProof/>
                <w:webHidden/>
              </w:rPr>
              <w:t>5</w:t>
            </w:r>
            <w:r>
              <w:rPr>
                <w:noProof/>
                <w:webHidden/>
              </w:rPr>
              <w:fldChar w:fldCharType="end"/>
            </w:r>
          </w:hyperlink>
        </w:p>
        <w:p w:rsidR="00BA29B8" w:rsidRDefault="00BA29B8" w14:paraId="714FEF28" w14:textId="19D3761A">
          <w:pPr>
            <w:pStyle w:val="TOC1"/>
            <w:rPr>
              <w:rFonts w:cstheme="minorBidi"/>
              <w:noProof/>
              <w:kern w:val="2"/>
              <w:lang w:val="en-GB" w:eastAsia="en-GB"/>
              <w14:ligatures w14:val="standardContextual"/>
            </w:rPr>
          </w:pPr>
          <w:hyperlink w:history="1" w:anchor="_Toc142400289">
            <w:r w:rsidRPr="00E1654F">
              <w:rPr>
                <w:rStyle w:val="Hyperlink"/>
                <w:noProof/>
              </w:rPr>
              <w:t>6.</w:t>
            </w:r>
            <w:r>
              <w:rPr>
                <w:rFonts w:cstheme="minorBidi"/>
                <w:noProof/>
                <w:kern w:val="2"/>
                <w:lang w:val="en-GB" w:eastAsia="en-GB"/>
                <w14:ligatures w14:val="standardContextual"/>
              </w:rPr>
              <w:tab/>
            </w:r>
            <w:r w:rsidRPr="00E1654F">
              <w:rPr>
                <w:rStyle w:val="Hyperlink"/>
                <w:noProof/>
              </w:rPr>
              <w:t>Evidence of satisfactory academic progress</w:t>
            </w:r>
            <w:r>
              <w:rPr>
                <w:noProof/>
                <w:webHidden/>
              </w:rPr>
              <w:tab/>
            </w:r>
            <w:r>
              <w:rPr>
                <w:noProof/>
                <w:webHidden/>
              </w:rPr>
              <w:fldChar w:fldCharType="begin"/>
            </w:r>
            <w:r>
              <w:rPr>
                <w:noProof/>
                <w:webHidden/>
              </w:rPr>
              <w:instrText xml:space="preserve"> PAGEREF _Toc142400289 \h </w:instrText>
            </w:r>
            <w:r>
              <w:rPr>
                <w:noProof/>
                <w:webHidden/>
              </w:rPr>
            </w:r>
            <w:r>
              <w:rPr>
                <w:noProof/>
                <w:webHidden/>
              </w:rPr>
              <w:fldChar w:fldCharType="separate"/>
            </w:r>
            <w:r>
              <w:rPr>
                <w:noProof/>
                <w:webHidden/>
              </w:rPr>
              <w:t>5</w:t>
            </w:r>
            <w:r>
              <w:rPr>
                <w:noProof/>
                <w:webHidden/>
              </w:rPr>
              <w:fldChar w:fldCharType="end"/>
            </w:r>
          </w:hyperlink>
        </w:p>
        <w:p w:rsidR="00BA29B8" w:rsidRDefault="00BA29B8" w14:paraId="2296D76E" w14:textId="7BD7EA71">
          <w:pPr>
            <w:pStyle w:val="TOC1"/>
            <w:rPr>
              <w:rFonts w:cstheme="minorBidi"/>
              <w:noProof/>
              <w:kern w:val="2"/>
              <w:lang w:val="en-GB" w:eastAsia="en-GB"/>
              <w14:ligatures w14:val="standardContextual"/>
            </w:rPr>
          </w:pPr>
          <w:hyperlink w:history="1" w:anchor="_Toc142400290">
            <w:r w:rsidRPr="00E1654F">
              <w:rPr>
                <w:rStyle w:val="Hyperlink"/>
                <w:noProof/>
              </w:rPr>
              <w:t>RESEARCH TRAINING</w:t>
            </w:r>
            <w:r>
              <w:rPr>
                <w:noProof/>
                <w:webHidden/>
              </w:rPr>
              <w:tab/>
            </w:r>
            <w:r>
              <w:rPr>
                <w:noProof/>
                <w:webHidden/>
              </w:rPr>
              <w:fldChar w:fldCharType="begin"/>
            </w:r>
            <w:r>
              <w:rPr>
                <w:noProof/>
                <w:webHidden/>
              </w:rPr>
              <w:instrText xml:space="preserve"> PAGEREF _Toc142400290 \h </w:instrText>
            </w:r>
            <w:r>
              <w:rPr>
                <w:noProof/>
                <w:webHidden/>
              </w:rPr>
            </w:r>
            <w:r>
              <w:rPr>
                <w:noProof/>
                <w:webHidden/>
              </w:rPr>
              <w:fldChar w:fldCharType="separate"/>
            </w:r>
            <w:r>
              <w:rPr>
                <w:noProof/>
                <w:webHidden/>
              </w:rPr>
              <w:t>6</w:t>
            </w:r>
            <w:r>
              <w:rPr>
                <w:noProof/>
                <w:webHidden/>
              </w:rPr>
              <w:fldChar w:fldCharType="end"/>
            </w:r>
          </w:hyperlink>
        </w:p>
        <w:p w:rsidR="00BA29B8" w:rsidRDefault="00BA29B8" w14:paraId="0FD36138" w14:textId="51B16594">
          <w:pPr>
            <w:pStyle w:val="TOC1"/>
            <w:rPr>
              <w:rFonts w:cstheme="minorBidi"/>
              <w:noProof/>
              <w:kern w:val="2"/>
              <w:lang w:val="en-GB" w:eastAsia="en-GB"/>
              <w14:ligatures w14:val="standardContextual"/>
            </w:rPr>
          </w:pPr>
          <w:hyperlink w:history="1" w:anchor="_Toc142400291">
            <w:r w:rsidRPr="00E1654F">
              <w:rPr>
                <w:rStyle w:val="Hyperlink"/>
                <w:noProof/>
              </w:rPr>
              <w:t>7.</w:t>
            </w:r>
            <w:r>
              <w:rPr>
                <w:rFonts w:cstheme="minorBidi"/>
                <w:noProof/>
                <w:kern w:val="2"/>
                <w:lang w:val="en-GB" w:eastAsia="en-GB"/>
                <w14:ligatures w14:val="standardContextual"/>
              </w:rPr>
              <w:tab/>
            </w:r>
            <w:r w:rsidR="00C72AD9">
              <w:rPr>
                <w:rStyle w:val="Hyperlink"/>
                <w:noProof/>
              </w:rPr>
              <w:t>PGR Development Programme</w:t>
            </w:r>
            <w:r>
              <w:rPr>
                <w:noProof/>
                <w:webHidden/>
              </w:rPr>
              <w:tab/>
            </w:r>
            <w:r>
              <w:rPr>
                <w:noProof/>
                <w:webHidden/>
              </w:rPr>
              <w:fldChar w:fldCharType="begin"/>
            </w:r>
            <w:r>
              <w:rPr>
                <w:noProof/>
                <w:webHidden/>
              </w:rPr>
              <w:instrText xml:space="preserve"> PAGEREF _Toc142400291 \h </w:instrText>
            </w:r>
            <w:r>
              <w:rPr>
                <w:noProof/>
                <w:webHidden/>
              </w:rPr>
            </w:r>
            <w:r>
              <w:rPr>
                <w:noProof/>
                <w:webHidden/>
              </w:rPr>
              <w:fldChar w:fldCharType="separate"/>
            </w:r>
            <w:r>
              <w:rPr>
                <w:noProof/>
                <w:webHidden/>
              </w:rPr>
              <w:t>6</w:t>
            </w:r>
            <w:r>
              <w:rPr>
                <w:noProof/>
                <w:webHidden/>
              </w:rPr>
              <w:fldChar w:fldCharType="end"/>
            </w:r>
          </w:hyperlink>
        </w:p>
        <w:p w:rsidR="00BA29B8" w:rsidRDefault="00BA29B8" w14:paraId="3B45550B" w14:textId="1C41304B">
          <w:pPr>
            <w:pStyle w:val="TOC1"/>
            <w:rPr>
              <w:rFonts w:cstheme="minorBidi"/>
              <w:noProof/>
              <w:kern w:val="2"/>
              <w:lang w:val="en-GB" w:eastAsia="en-GB"/>
              <w14:ligatures w14:val="standardContextual"/>
            </w:rPr>
          </w:pPr>
          <w:hyperlink w:history="1" w:anchor="_Toc142400292">
            <w:r w:rsidRPr="00E1654F">
              <w:rPr>
                <w:rStyle w:val="Hyperlink"/>
                <w:noProof/>
              </w:rPr>
              <w:t>SUSPENSION OF STUDY AND REPEAT PERIODS</w:t>
            </w:r>
            <w:r>
              <w:rPr>
                <w:noProof/>
                <w:webHidden/>
              </w:rPr>
              <w:tab/>
            </w:r>
            <w:r>
              <w:rPr>
                <w:noProof/>
                <w:webHidden/>
              </w:rPr>
              <w:fldChar w:fldCharType="begin"/>
            </w:r>
            <w:r>
              <w:rPr>
                <w:noProof/>
                <w:webHidden/>
              </w:rPr>
              <w:instrText xml:space="preserve"> PAGEREF _Toc142400292 \h </w:instrText>
            </w:r>
            <w:r>
              <w:rPr>
                <w:noProof/>
                <w:webHidden/>
              </w:rPr>
            </w:r>
            <w:r>
              <w:rPr>
                <w:noProof/>
                <w:webHidden/>
              </w:rPr>
              <w:fldChar w:fldCharType="separate"/>
            </w:r>
            <w:r>
              <w:rPr>
                <w:noProof/>
                <w:webHidden/>
              </w:rPr>
              <w:t>6</w:t>
            </w:r>
            <w:r>
              <w:rPr>
                <w:noProof/>
                <w:webHidden/>
              </w:rPr>
              <w:fldChar w:fldCharType="end"/>
            </w:r>
          </w:hyperlink>
        </w:p>
        <w:p w:rsidR="00BA29B8" w:rsidRDefault="00BA29B8" w14:paraId="6DDC6D92" w14:textId="6693C9CD">
          <w:pPr>
            <w:pStyle w:val="TOC1"/>
            <w:rPr>
              <w:rFonts w:cstheme="minorBidi"/>
              <w:noProof/>
              <w:kern w:val="2"/>
              <w:lang w:val="en-GB" w:eastAsia="en-GB"/>
              <w14:ligatures w14:val="standardContextual"/>
            </w:rPr>
          </w:pPr>
          <w:hyperlink w:history="1" w:anchor="_Toc142400293">
            <w:r w:rsidRPr="00E1654F">
              <w:rPr>
                <w:rStyle w:val="Hyperlink"/>
                <w:noProof/>
              </w:rPr>
              <w:t>8.</w:t>
            </w:r>
            <w:r>
              <w:rPr>
                <w:rFonts w:cstheme="minorBidi"/>
                <w:noProof/>
                <w:kern w:val="2"/>
                <w:lang w:val="en-GB" w:eastAsia="en-GB"/>
                <w14:ligatures w14:val="standardContextual"/>
              </w:rPr>
              <w:tab/>
            </w:r>
            <w:r w:rsidRPr="00E1654F">
              <w:rPr>
                <w:rStyle w:val="Hyperlink"/>
                <w:noProof/>
              </w:rPr>
              <w:t>Permitted duration for the accumulation of credits</w:t>
            </w:r>
            <w:r>
              <w:rPr>
                <w:noProof/>
                <w:webHidden/>
              </w:rPr>
              <w:tab/>
            </w:r>
            <w:r>
              <w:rPr>
                <w:noProof/>
                <w:webHidden/>
              </w:rPr>
              <w:fldChar w:fldCharType="begin"/>
            </w:r>
            <w:r>
              <w:rPr>
                <w:noProof/>
                <w:webHidden/>
              </w:rPr>
              <w:instrText xml:space="preserve"> PAGEREF _Toc142400293 \h </w:instrText>
            </w:r>
            <w:r>
              <w:rPr>
                <w:noProof/>
                <w:webHidden/>
              </w:rPr>
            </w:r>
            <w:r>
              <w:rPr>
                <w:noProof/>
                <w:webHidden/>
              </w:rPr>
              <w:fldChar w:fldCharType="separate"/>
            </w:r>
            <w:r>
              <w:rPr>
                <w:noProof/>
                <w:webHidden/>
              </w:rPr>
              <w:t>6</w:t>
            </w:r>
            <w:r>
              <w:rPr>
                <w:noProof/>
                <w:webHidden/>
              </w:rPr>
              <w:fldChar w:fldCharType="end"/>
            </w:r>
          </w:hyperlink>
        </w:p>
        <w:p w:rsidR="00BA29B8" w:rsidRDefault="00BA29B8" w14:paraId="3C646D6E" w14:textId="3A2CDF02">
          <w:pPr>
            <w:pStyle w:val="TOC1"/>
            <w:rPr>
              <w:rFonts w:cstheme="minorBidi"/>
              <w:noProof/>
              <w:kern w:val="2"/>
              <w:lang w:val="en-GB" w:eastAsia="en-GB"/>
              <w14:ligatures w14:val="standardContextual"/>
            </w:rPr>
          </w:pPr>
          <w:hyperlink w:history="1" w:anchor="_Toc142400294">
            <w:r w:rsidRPr="00E1654F">
              <w:rPr>
                <w:rStyle w:val="Hyperlink"/>
                <w:noProof/>
              </w:rPr>
              <w:t>9.</w:t>
            </w:r>
            <w:r>
              <w:rPr>
                <w:rFonts w:cstheme="minorBidi"/>
                <w:noProof/>
                <w:kern w:val="2"/>
                <w:lang w:val="en-GB" w:eastAsia="en-GB"/>
                <w14:ligatures w14:val="standardContextual"/>
              </w:rPr>
              <w:tab/>
            </w:r>
            <w:r w:rsidRPr="00E1654F">
              <w:rPr>
                <w:rStyle w:val="Hyperlink"/>
                <w:noProof/>
              </w:rPr>
              <w:t>Suspension of study</w:t>
            </w:r>
            <w:r>
              <w:rPr>
                <w:noProof/>
                <w:webHidden/>
              </w:rPr>
              <w:tab/>
            </w:r>
            <w:r>
              <w:rPr>
                <w:noProof/>
                <w:webHidden/>
              </w:rPr>
              <w:fldChar w:fldCharType="begin"/>
            </w:r>
            <w:r>
              <w:rPr>
                <w:noProof/>
                <w:webHidden/>
              </w:rPr>
              <w:instrText xml:space="preserve"> PAGEREF _Toc142400294 \h </w:instrText>
            </w:r>
            <w:r>
              <w:rPr>
                <w:noProof/>
                <w:webHidden/>
              </w:rPr>
            </w:r>
            <w:r>
              <w:rPr>
                <w:noProof/>
                <w:webHidden/>
              </w:rPr>
              <w:fldChar w:fldCharType="separate"/>
            </w:r>
            <w:r>
              <w:rPr>
                <w:noProof/>
                <w:webHidden/>
              </w:rPr>
              <w:t>6</w:t>
            </w:r>
            <w:r>
              <w:rPr>
                <w:noProof/>
                <w:webHidden/>
              </w:rPr>
              <w:fldChar w:fldCharType="end"/>
            </w:r>
          </w:hyperlink>
        </w:p>
        <w:p w:rsidR="00BA29B8" w:rsidRDefault="00BA29B8" w14:paraId="73C6E44F" w14:textId="332AD53A">
          <w:pPr>
            <w:pStyle w:val="TOC1"/>
            <w:rPr>
              <w:rFonts w:cstheme="minorBidi"/>
              <w:noProof/>
              <w:kern w:val="2"/>
              <w:lang w:val="en-GB" w:eastAsia="en-GB"/>
              <w14:ligatures w14:val="standardContextual"/>
            </w:rPr>
          </w:pPr>
          <w:hyperlink w:history="1" w:anchor="_Toc142400295">
            <w:r w:rsidRPr="00E1654F">
              <w:rPr>
                <w:rStyle w:val="Hyperlink"/>
                <w:noProof/>
              </w:rPr>
              <w:t>10.</w:t>
            </w:r>
            <w:r>
              <w:rPr>
                <w:rFonts w:cstheme="minorBidi"/>
                <w:noProof/>
                <w:kern w:val="2"/>
                <w:lang w:val="en-GB" w:eastAsia="en-GB"/>
                <w14:ligatures w14:val="standardContextual"/>
              </w:rPr>
              <w:tab/>
            </w:r>
            <w:r w:rsidRPr="00E1654F">
              <w:rPr>
                <w:rStyle w:val="Hyperlink"/>
                <w:noProof/>
              </w:rPr>
              <w:t>Suspension of study on grounds of risk</w:t>
            </w:r>
            <w:r>
              <w:rPr>
                <w:noProof/>
                <w:webHidden/>
              </w:rPr>
              <w:tab/>
            </w:r>
            <w:r>
              <w:rPr>
                <w:noProof/>
                <w:webHidden/>
              </w:rPr>
              <w:fldChar w:fldCharType="begin"/>
            </w:r>
            <w:r>
              <w:rPr>
                <w:noProof/>
                <w:webHidden/>
              </w:rPr>
              <w:instrText xml:space="preserve"> PAGEREF _Toc142400295 \h </w:instrText>
            </w:r>
            <w:r>
              <w:rPr>
                <w:noProof/>
                <w:webHidden/>
              </w:rPr>
            </w:r>
            <w:r>
              <w:rPr>
                <w:noProof/>
                <w:webHidden/>
              </w:rPr>
              <w:fldChar w:fldCharType="separate"/>
            </w:r>
            <w:r>
              <w:rPr>
                <w:noProof/>
                <w:webHidden/>
              </w:rPr>
              <w:t>6</w:t>
            </w:r>
            <w:r>
              <w:rPr>
                <w:noProof/>
                <w:webHidden/>
              </w:rPr>
              <w:fldChar w:fldCharType="end"/>
            </w:r>
          </w:hyperlink>
        </w:p>
        <w:p w:rsidR="00BA29B8" w:rsidRDefault="00BA29B8" w14:paraId="30319240" w14:textId="2F880159">
          <w:pPr>
            <w:pStyle w:val="TOC1"/>
            <w:rPr>
              <w:rFonts w:cstheme="minorBidi"/>
              <w:noProof/>
              <w:kern w:val="2"/>
              <w:lang w:val="en-GB" w:eastAsia="en-GB"/>
              <w14:ligatures w14:val="standardContextual"/>
            </w:rPr>
          </w:pPr>
          <w:hyperlink w:history="1" w:anchor="_Toc142400296">
            <w:r w:rsidRPr="00E1654F">
              <w:rPr>
                <w:rStyle w:val="Hyperlink"/>
                <w:noProof/>
              </w:rPr>
              <w:t>11.</w:t>
            </w:r>
            <w:r>
              <w:rPr>
                <w:rFonts w:cstheme="minorBidi"/>
                <w:noProof/>
                <w:kern w:val="2"/>
                <w:lang w:val="en-GB" w:eastAsia="en-GB"/>
                <w14:ligatures w14:val="standardContextual"/>
              </w:rPr>
              <w:tab/>
            </w:r>
            <w:r w:rsidRPr="00E1654F">
              <w:rPr>
                <w:rStyle w:val="Hyperlink"/>
                <w:noProof/>
              </w:rPr>
              <w:t>Repeating a period</w:t>
            </w:r>
            <w:r>
              <w:rPr>
                <w:noProof/>
                <w:webHidden/>
              </w:rPr>
              <w:tab/>
            </w:r>
            <w:r>
              <w:rPr>
                <w:noProof/>
                <w:webHidden/>
              </w:rPr>
              <w:fldChar w:fldCharType="begin"/>
            </w:r>
            <w:r>
              <w:rPr>
                <w:noProof/>
                <w:webHidden/>
              </w:rPr>
              <w:instrText xml:space="preserve"> PAGEREF _Toc142400296 \h </w:instrText>
            </w:r>
            <w:r>
              <w:rPr>
                <w:noProof/>
                <w:webHidden/>
              </w:rPr>
            </w:r>
            <w:r>
              <w:rPr>
                <w:noProof/>
                <w:webHidden/>
              </w:rPr>
              <w:fldChar w:fldCharType="separate"/>
            </w:r>
            <w:r>
              <w:rPr>
                <w:noProof/>
                <w:webHidden/>
              </w:rPr>
              <w:t>7</w:t>
            </w:r>
            <w:r>
              <w:rPr>
                <w:noProof/>
                <w:webHidden/>
              </w:rPr>
              <w:fldChar w:fldCharType="end"/>
            </w:r>
          </w:hyperlink>
        </w:p>
        <w:p w:rsidR="00BA29B8" w:rsidRDefault="00BA29B8" w14:paraId="78C47C49" w14:textId="5555CF05">
          <w:pPr>
            <w:pStyle w:val="TOC1"/>
            <w:rPr>
              <w:rFonts w:cstheme="minorBidi"/>
              <w:noProof/>
              <w:kern w:val="2"/>
              <w:lang w:val="en-GB" w:eastAsia="en-GB"/>
              <w14:ligatures w14:val="standardContextual"/>
            </w:rPr>
          </w:pPr>
          <w:hyperlink w:history="1" w:anchor="_Toc142400297">
            <w:r w:rsidRPr="00E1654F">
              <w:rPr>
                <w:rStyle w:val="Hyperlink"/>
                <w:noProof/>
              </w:rPr>
              <w:t>ASSESSMENT</w:t>
            </w:r>
            <w:r>
              <w:rPr>
                <w:noProof/>
                <w:webHidden/>
              </w:rPr>
              <w:tab/>
            </w:r>
            <w:r>
              <w:rPr>
                <w:noProof/>
                <w:webHidden/>
              </w:rPr>
              <w:fldChar w:fldCharType="begin"/>
            </w:r>
            <w:r>
              <w:rPr>
                <w:noProof/>
                <w:webHidden/>
              </w:rPr>
              <w:instrText xml:space="preserve"> PAGEREF _Toc142400297 \h </w:instrText>
            </w:r>
            <w:r>
              <w:rPr>
                <w:noProof/>
                <w:webHidden/>
              </w:rPr>
            </w:r>
            <w:r>
              <w:rPr>
                <w:noProof/>
                <w:webHidden/>
              </w:rPr>
              <w:fldChar w:fldCharType="separate"/>
            </w:r>
            <w:r>
              <w:rPr>
                <w:noProof/>
                <w:webHidden/>
              </w:rPr>
              <w:t>7</w:t>
            </w:r>
            <w:r>
              <w:rPr>
                <w:noProof/>
                <w:webHidden/>
              </w:rPr>
              <w:fldChar w:fldCharType="end"/>
            </w:r>
          </w:hyperlink>
        </w:p>
        <w:p w:rsidR="00BA29B8" w:rsidRDefault="00BA29B8" w14:paraId="24E0F0F6" w14:textId="221A28CB">
          <w:pPr>
            <w:pStyle w:val="TOC1"/>
            <w:rPr>
              <w:rFonts w:cstheme="minorBidi"/>
              <w:noProof/>
              <w:kern w:val="2"/>
              <w:lang w:val="en-GB" w:eastAsia="en-GB"/>
              <w14:ligatures w14:val="standardContextual"/>
            </w:rPr>
          </w:pPr>
          <w:hyperlink w:history="1" w:anchor="_Toc142400298">
            <w:r w:rsidRPr="00E1654F">
              <w:rPr>
                <w:rStyle w:val="Hyperlink"/>
                <w:noProof/>
              </w:rPr>
              <w:t>12.</w:t>
            </w:r>
            <w:r>
              <w:rPr>
                <w:rFonts w:cstheme="minorBidi"/>
                <w:noProof/>
                <w:kern w:val="2"/>
                <w:lang w:val="en-GB" w:eastAsia="en-GB"/>
                <w14:ligatures w14:val="standardContextual"/>
              </w:rPr>
              <w:tab/>
            </w:r>
            <w:r w:rsidRPr="00E1654F">
              <w:rPr>
                <w:rStyle w:val="Hyperlink"/>
                <w:noProof/>
              </w:rPr>
              <w:t>Method of Examination</w:t>
            </w:r>
            <w:r>
              <w:rPr>
                <w:noProof/>
                <w:webHidden/>
              </w:rPr>
              <w:tab/>
            </w:r>
            <w:r>
              <w:rPr>
                <w:noProof/>
                <w:webHidden/>
              </w:rPr>
              <w:fldChar w:fldCharType="begin"/>
            </w:r>
            <w:r>
              <w:rPr>
                <w:noProof/>
                <w:webHidden/>
              </w:rPr>
              <w:instrText xml:space="preserve"> PAGEREF _Toc142400298 \h </w:instrText>
            </w:r>
            <w:r>
              <w:rPr>
                <w:noProof/>
                <w:webHidden/>
              </w:rPr>
            </w:r>
            <w:r>
              <w:rPr>
                <w:noProof/>
                <w:webHidden/>
              </w:rPr>
              <w:fldChar w:fldCharType="separate"/>
            </w:r>
            <w:r>
              <w:rPr>
                <w:noProof/>
                <w:webHidden/>
              </w:rPr>
              <w:t>7</w:t>
            </w:r>
            <w:r>
              <w:rPr>
                <w:noProof/>
                <w:webHidden/>
              </w:rPr>
              <w:fldChar w:fldCharType="end"/>
            </w:r>
          </w:hyperlink>
        </w:p>
        <w:p w:rsidR="00BA29B8" w:rsidRDefault="00BA29B8" w14:paraId="6488CB55" w14:textId="7CCEB495">
          <w:pPr>
            <w:pStyle w:val="TOC1"/>
            <w:rPr>
              <w:rFonts w:cstheme="minorBidi"/>
              <w:noProof/>
              <w:kern w:val="2"/>
              <w:lang w:val="en-GB" w:eastAsia="en-GB"/>
              <w14:ligatures w14:val="standardContextual"/>
            </w:rPr>
          </w:pPr>
          <w:hyperlink w:history="1" w:anchor="_Toc142400299">
            <w:r w:rsidRPr="00E1654F">
              <w:rPr>
                <w:rStyle w:val="Hyperlink"/>
                <w:noProof/>
              </w:rPr>
              <w:t>13.</w:t>
            </w:r>
            <w:r>
              <w:rPr>
                <w:rFonts w:cstheme="minorBidi"/>
                <w:noProof/>
                <w:kern w:val="2"/>
                <w:lang w:val="en-GB" w:eastAsia="en-GB"/>
                <w14:ligatures w14:val="standardContextual"/>
              </w:rPr>
              <w:tab/>
            </w:r>
            <w:r w:rsidRPr="00E1654F">
              <w:rPr>
                <w:rStyle w:val="Hyperlink"/>
                <w:noProof/>
              </w:rPr>
              <w:t>Standards and Criteria for the award</w:t>
            </w:r>
            <w:r>
              <w:rPr>
                <w:noProof/>
                <w:webHidden/>
              </w:rPr>
              <w:tab/>
            </w:r>
            <w:r>
              <w:rPr>
                <w:noProof/>
                <w:webHidden/>
              </w:rPr>
              <w:fldChar w:fldCharType="begin"/>
            </w:r>
            <w:r>
              <w:rPr>
                <w:noProof/>
                <w:webHidden/>
              </w:rPr>
              <w:instrText xml:space="preserve"> PAGEREF _Toc142400299 \h </w:instrText>
            </w:r>
            <w:r>
              <w:rPr>
                <w:noProof/>
                <w:webHidden/>
              </w:rPr>
            </w:r>
            <w:r>
              <w:rPr>
                <w:noProof/>
                <w:webHidden/>
              </w:rPr>
              <w:fldChar w:fldCharType="separate"/>
            </w:r>
            <w:r>
              <w:rPr>
                <w:noProof/>
                <w:webHidden/>
              </w:rPr>
              <w:t>8</w:t>
            </w:r>
            <w:r>
              <w:rPr>
                <w:noProof/>
                <w:webHidden/>
              </w:rPr>
              <w:fldChar w:fldCharType="end"/>
            </w:r>
          </w:hyperlink>
        </w:p>
        <w:p w:rsidR="00BA29B8" w:rsidRDefault="00BA29B8" w14:paraId="6EED5E08" w14:textId="4E5CE632">
          <w:pPr>
            <w:pStyle w:val="TOC1"/>
            <w:rPr>
              <w:rFonts w:cstheme="minorBidi"/>
              <w:noProof/>
              <w:kern w:val="2"/>
              <w:lang w:val="en-GB" w:eastAsia="en-GB"/>
              <w14:ligatures w14:val="standardContextual"/>
            </w:rPr>
          </w:pPr>
          <w:hyperlink w:history="1" w:anchor="_Toc142400300">
            <w:r w:rsidRPr="00E1654F">
              <w:rPr>
                <w:rStyle w:val="Hyperlink"/>
                <w:noProof/>
              </w:rPr>
              <w:t>14.</w:t>
            </w:r>
            <w:r>
              <w:rPr>
                <w:rFonts w:cstheme="minorBidi"/>
                <w:noProof/>
                <w:kern w:val="2"/>
                <w:lang w:val="en-GB" w:eastAsia="en-GB"/>
                <w14:ligatures w14:val="standardContextual"/>
              </w:rPr>
              <w:tab/>
            </w:r>
            <w:r w:rsidRPr="00E1654F">
              <w:rPr>
                <w:rStyle w:val="Hyperlink"/>
                <w:noProof/>
              </w:rPr>
              <w:t>Submission of the thesis</w:t>
            </w:r>
            <w:r>
              <w:rPr>
                <w:noProof/>
                <w:webHidden/>
              </w:rPr>
              <w:tab/>
            </w:r>
            <w:r>
              <w:rPr>
                <w:noProof/>
                <w:webHidden/>
              </w:rPr>
              <w:fldChar w:fldCharType="begin"/>
            </w:r>
            <w:r>
              <w:rPr>
                <w:noProof/>
                <w:webHidden/>
              </w:rPr>
              <w:instrText xml:space="preserve"> PAGEREF _Toc142400300 \h </w:instrText>
            </w:r>
            <w:r>
              <w:rPr>
                <w:noProof/>
                <w:webHidden/>
              </w:rPr>
            </w:r>
            <w:r>
              <w:rPr>
                <w:noProof/>
                <w:webHidden/>
              </w:rPr>
              <w:fldChar w:fldCharType="separate"/>
            </w:r>
            <w:r>
              <w:rPr>
                <w:noProof/>
                <w:webHidden/>
              </w:rPr>
              <w:t>8</w:t>
            </w:r>
            <w:r>
              <w:rPr>
                <w:noProof/>
                <w:webHidden/>
              </w:rPr>
              <w:fldChar w:fldCharType="end"/>
            </w:r>
          </w:hyperlink>
        </w:p>
        <w:p w:rsidR="00BA29B8" w:rsidRDefault="00BA29B8" w14:paraId="233D572A" w14:textId="321F8839">
          <w:pPr>
            <w:pStyle w:val="TOC1"/>
            <w:rPr>
              <w:rFonts w:cstheme="minorBidi"/>
              <w:noProof/>
              <w:kern w:val="2"/>
              <w:lang w:val="en-GB" w:eastAsia="en-GB"/>
              <w14:ligatures w14:val="standardContextual"/>
            </w:rPr>
          </w:pPr>
          <w:hyperlink w:history="1" w:anchor="_Toc142400301">
            <w:r w:rsidRPr="00E1654F">
              <w:rPr>
                <w:rStyle w:val="Hyperlink"/>
                <w:noProof/>
              </w:rPr>
              <w:t>15.</w:t>
            </w:r>
            <w:r>
              <w:rPr>
                <w:rFonts w:cstheme="minorBidi"/>
                <w:noProof/>
                <w:kern w:val="2"/>
                <w:lang w:val="en-GB" w:eastAsia="en-GB"/>
                <w14:ligatures w14:val="standardContextual"/>
              </w:rPr>
              <w:tab/>
            </w:r>
            <w:r w:rsidRPr="00E1654F">
              <w:rPr>
                <w:rStyle w:val="Hyperlink"/>
                <w:noProof/>
              </w:rPr>
              <w:t>Thesis extensions</w:t>
            </w:r>
            <w:r>
              <w:rPr>
                <w:noProof/>
                <w:webHidden/>
              </w:rPr>
              <w:tab/>
            </w:r>
            <w:r>
              <w:rPr>
                <w:noProof/>
                <w:webHidden/>
              </w:rPr>
              <w:fldChar w:fldCharType="begin"/>
            </w:r>
            <w:r>
              <w:rPr>
                <w:noProof/>
                <w:webHidden/>
              </w:rPr>
              <w:instrText xml:space="preserve"> PAGEREF _Toc142400301 \h </w:instrText>
            </w:r>
            <w:r>
              <w:rPr>
                <w:noProof/>
                <w:webHidden/>
              </w:rPr>
            </w:r>
            <w:r>
              <w:rPr>
                <w:noProof/>
                <w:webHidden/>
              </w:rPr>
              <w:fldChar w:fldCharType="separate"/>
            </w:r>
            <w:r>
              <w:rPr>
                <w:noProof/>
                <w:webHidden/>
              </w:rPr>
              <w:t>8</w:t>
            </w:r>
            <w:r>
              <w:rPr>
                <w:noProof/>
                <w:webHidden/>
              </w:rPr>
              <w:fldChar w:fldCharType="end"/>
            </w:r>
          </w:hyperlink>
        </w:p>
        <w:p w:rsidR="00BA29B8" w:rsidRDefault="00BA29B8" w14:paraId="03459C49" w14:textId="330BABA2">
          <w:pPr>
            <w:pStyle w:val="TOC1"/>
            <w:rPr>
              <w:rFonts w:cstheme="minorBidi"/>
              <w:noProof/>
              <w:kern w:val="2"/>
              <w:lang w:val="en-GB" w:eastAsia="en-GB"/>
              <w14:ligatures w14:val="standardContextual"/>
            </w:rPr>
          </w:pPr>
          <w:hyperlink w:history="1" w:anchor="_Toc142400302">
            <w:r w:rsidRPr="00E1654F">
              <w:rPr>
                <w:rStyle w:val="Hyperlink"/>
                <w:noProof/>
              </w:rPr>
              <w:t>16.</w:t>
            </w:r>
            <w:r>
              <w:rPr>
                <w:rFonts w:cstheme="minorBidi"/>
                <w:noProof/>
                <w:kern w:val="2"/>
                <w:lang w:val="en-GB" w:eastAsia="en-GB"/>
                <w14:ligatures w14:val="standardContextual"/>
              </w:rPr>
              <w:tab/>
            </w:r>
            <w:r w:rsidRPr="00E1654F">
              <w:rPr>
                <w:rStyle w:val="Hyperlink"/>
                <w:noProof/>
              </w:rPr>
              <w:t>Non-Submission</w:t>
            </w:r>
            <w:r>
              <w:rPr>
                <w:noProof/>
                <w:webHidden/>
              </w:rPr>
              <w:tab/>
            </w:r>
            <w:r>
              <w:rPr>
                <w:noProof/>
                <w:webHidden/>
              </w:rPr>
              <w:fldChar w:fldCharType="begin"/>
            </w:r>
            <w:r>
              <w:rPr>
                <w:noProof/>
                <w:webHidden/>
              </w:rPr>
              <w:instrText xml:space="preserve"> PAGEREF _Toc142400302 \h </w:instrText>
            </w:r>
            <w:r>
              <w:rPr>
                <w:noProof/>
                <w:webHidden/>
              </w:rPr>
            </w:r>
            <w:r>
              <w:rPr>
                <w:noProof/>
                <w:webHidden/>
              </w:rPr>
              <w:fldChar w:fldCharType="separate"/>
            </w:r>
            <w:r>
              <w:rPr>
                <w:noProof/>
                <w:webHidden/>
              </w:rPr>
              <w:t>8</w:t>
            </w:r>
            <w:r>
              <w:rPr>
                <w:noProof/>
                <w:webHidden/>
              </w:rPr>
              <w:fldChar w:fldCharType="end"/>
            </w:r>
          </w:hyperlink>
        </w:p>
        <w:p w:rsidR="00BA29B8" w:rsidRDefault="00BA29B8" w14:paraId="20894E93" w14:textId="0A1C2A73">
          <w:pPr>
            <w:pStyle w:val="TOC1"/>
            <w:rPr>
              <w:rFonts w:cstheme="minorBidi"/>
              <w:noProof/>
              <w:kern w:val="2"/>
              <w:lang w:val="en-GB" w:eastAsia="en-GB"/>
              <w14:ligatures w14:val="standardContextual"/>
            </w:rPr>
          </w:pPr>
          <w:hyperlink w:history="1" w:anchor="_Toc142400303">
            <w:r w:rsidRPr="00E1654F">
              <w:rPr>
                <w:rStyle w:val="Hyperlink"/>
                <w:noProof/>
              </w:rPr>
              <w:t>17.</w:t>
            </w:r>
            <w:r>
              <w:rPr>
                <w:rFonts w:cstheme="minorBidi"/>
                <w:noProof/>
                <w:kern w:val="2"/>
                <w:lang w:val="en-GB" w:eastAsia="en-GB"/>
                <w14:ligatures w14:val="standardContextual"/>
              </w:rPr>
              <w:tab/>
            </w:r>
            <w:r w:rsidRPr="00E1654F">
              <w:rPr>
                <w:rStyle w:val="Hyperlink"/>
                <w:noProof/>
              </w:rPr>
              <w:t>Appointment of Examiners</w:t>
            </w:r>
            <w:r>
              <w:rPr>
                <w:noProof/>
                <w:webHidden/>
              </w:rPr>
              <w:tab/>
            </w:r>
            <w:r>
              <w:rPr>
                <w:noProof/>
                <w:webHidden/>
              </w:rPr>
              <w:fldChar w:fldCharType="begin"/>
            </w:r>
            <w:r>
              <w:rPr>
                <w:noProof/>
                <w:webHidden/>
              </w:rPr>
              <w:instrText xml:space="preserve"> PAGEREF _Toc142400303 \h </w:instrText>
            </w:r>
            <w:r>
              <w:rPr>
                <w:noProof/>
                <w:webHidden/>
              </w:rPr>
            </w:r>
            <w:r>
              <w:rPr>
                <w:noProof/>
                <w:webHidden/>
              </w:rPr>
              <w:fldChar w:fldCharType="separate"/>
            </w:r>
            <w:r>
              <w:rPr>
                <w:noProof/>
                <w:webHidden/>
              </w:rPr>
              <w:t>9</w:t>
            </w:r>
            <w:r>
              <w:rPr>
                <w:noProof/>
                <w:webHidden/>
              </w:rPr>
              <w:fldChar w:fldCharType="end"/>
            </w:r>
          </w:hyperlink>
        </w:p>
        <w:p w:rsidR="00BA29B8" w:rsidRDefault="00BA29B8" w14:paraId="4E981DC4" w14:textId="183E1A12">
          <w:pPr>
            <w:pStyle w:val="TOC1"/>
            <w:rPr>
              <w:rFonts w:cstheme="minorBidi"/>
              <w:noProof/>
              <w:kern w:val="2"/>
              <w:lang w:val="en-GB" w:eastAsia="en-GB"/>
              <w14:ligatures w14:val="standardContextual"/>
            </w:rPr>
          </w:pPr>
          <w:hyperlink w:history="1" w:anchor="_Toc142400304">
            <w:r w:rsidRPr="00E1654F">
              <w:rPr>
                <w:rStyle w:val="Hyperlink"/>
                <w:noProof/>
              </w:rPr>
              <w:t>18.</w:t>
            </w:r>
            <w:r>
              <w:rPr>
                <w:rFonts w:cstheme="minorBidi"/>
                <w:noProof/>
                <w:kern w:val="2"/>
                <w:lang w:val="en-GB" w:eastAsia="en-GB"/>
                <w14:ligatures w14:val="standardContextual"/>
              </w:rPr>
              <w:tab/>
            </w:r>
            <w:r w:rsidRPr="00E1654F">
              <w:rPr>
                <w:rStyle w:val="Hyperlink"/>
                <w:noProof/>
              </w:rPr>
              <w:t>Examiners’ Recommendations</w:t>
            </w:r>
            <w:r>
              <w:rPr>
                <w:noProof/>
                <w:webHidden/>
              </w:rPr>
              <w:tab/>
            </w:r>
            <w:r>
              <w:rPr>
                <w:noProof/>
                <w:webHidden/>
              </w:rPr>
              <w:fldChar w:fldCharType="begin"/>
            </w:r>
            <w:r>
              <w:rPr>
                <w:noProof/>
                <w:webHidden/>
              </w:rPr>
              <w:instrText xml:space="preserve"> PAGEREF _Toc142400304 \h </w:instrText>
            </w:r>
            <w:r>
              <w:rPr>
                <w:noProof/>
                <w:webHidden/>
              </w:rPr>
            </w:r>
            <w:r>
              <w:rPr>
                <w:noProof/>
                <w:webHidden/>
              </w:rPr>
              <w:fldChar w:fldCharType="separate"/>
            </w:r>
            <w:r>
              <w:rPr>
                <w:noProof/>
                <w:webHidden/>
              </w:rPr>
              <w:t>9</w:t>
            </w:r>
            <w:r>
              <w:rPr>
                <w:noProof/>
                <w:webHidden/>
              </w:rPr>
              <w:fldChar w:fldCharType="end"/>
            </w:r>
          </w:hyperlink>
        </w:p>
        <w:p w:rsidR="00BA29B8" w:rsidRDefault="00BA29B8" w14:paraId="3CBADA2B" w14:textId="1EF63C87">
          <w:pPr>
            <w:pStyle w:val="TOC1"/>
            <w:rPr>
              <w:rFonts w:cstheme="minorBidi"/>
              <w:noProof/>
              <w:kern w:val="2"/>
              <w:lang w:val="en-GB" w:eastAsia="en-GB"/>
              <w14:ligatures w14:val="standardContextual"/>
            </w:rPr>
          </w:pPr>
          <w:hyperlink w:history="1" w:anchor="_Toc142400305">
            <w:r w:rsidRPr="00E1654F">
              <w:rPr>
                <w:rStyle w:val="Hyperlink"/>
                <w:noProof/>
              </w:rPr>
              <w:t>19.</w:t>
            </w:r>
            <w:r>
              <w:rPr>
                <w:rFonts w:cstheme="minorBidi"/>
                <w:noProof/>
                <w:kern w:val="2"/>
                <w:lang w:val="en-GB" w:eastAsia="en-GB"/>
                <w14:ligatures w14:val="standardContextual"/>
              </w:rPr>
              <w:tab/>
            </w:r>
            <w:r w:rsidRPr="00E1654F">
              <w:rPr>
                <w:rStyle w:val="Hyperlink"/>
                <w:noProof/>
              </w:rPr>
              <w:t>Resubmission of the thesis</w:t>
            </w:r>
            <w:r>
              <w:rPr>
                <w:noProof/>
                <w:webHidden/>
              </w:rPr>
              <w:tab/>
            </w:r>
            <w:r>
              <w:rPr>
                <w:noProof/>
                <w:webHidden/>
              </w:rPr>
              <w:fldChar w:fldCharType="begin"/>
            </w:r>
            <w:r>
              <w:rPr>
                <w:noProof/>
                <w:webHidden/>
              </w:rPr>
              <w:instrText xml:space="preserve"> PAGEREF _Toc142400305 \h </w:instrText>
            </w:r>
            <w:r>
              <w:rPr>
                <w:noProof/>
                <w:webHidden/>
              </w:rPr>
            </w:r>
            <w:r>
              <w:rPr>
                <w:noProof/>
                <w:webHidden/>
              </w:rPr>
              <w:fldChar w:fldCharType="separate"/>
            </w:r>
            <w:r>
              <w:rPr>
                <w:noProof/>
                <w:webHidden/>
              </w:rPr>
              <w:t>10</w:t>
            </w:r>
            <w:r>
              <w:rPr>
                <w:noProof/>
                <w:webHidden/>
              </w:rPr>
              <w:fldChar w:fldCharType="end"/>
            </w:r>
          </w:hyperlink>
        </w:p>
        <w:p w:rsidR="00BA29B8" w:rsidRDefault="00BA29B8" w14:paraId="67508806" w14:textId="5C7C25C3">
          <w:pPr>
            <w:pStyle w:val="TOC1"/>
            <w:rPr>
              <w:rFonts w:cstheme="minorBidi"/>
              <w:noProof/>
              <w:kern w:val="2"/>
              <w:lang w:val="en-GB" w:eastAsia="en-GB"/>
              <w14:ligatures w14:val="standardContextual"/>
            </w:rPr>
          </w:pPr>
          <w:hyperlink w:history="1" w:anchor="_Toc142400306">
            <w:r w:rsidRPr="00E1654F">
              <w:rPr>
                <w:rStyle w:val="Hyperlink"/>
                <w:noProof/>
              </w:rPr>
              <w:t>ACADEMIC/PROFESSIONAL DISCIPLINE</w:t>
            </w:r>
            <w:r>
              <w:rPr>
                <w:noProof/>
                <w:webHidden/>
              </w:rPr>
              <w:tab/>
            </w:r>
            <w:r>
              <w:rPr>
                <w:noProof/>
                <w:webHidden/>
              </w:rPr>
              <w:fldChar w:fldCharType="begin"/>
            </w:r>
            <w:r>
              <w:rPr>
                <w:noProof/>
                <w:webHidden/>
              </w:rPr>
              <w:instrText xml:space="preserve"> PAGEREF _Toc142400306 \h </w:instrText>
            </w:r>
            <w:r>
              <w:rPr>
                <w:noProof/>
                <w:webHidden/>
              </w:rPr>
            </w:r>
            <w:r>
              <w:rPr>
                <w:noProof/>
                <w:webHidden/>
              </w:rPr>
              <w:fldChar w:fldCharType="separate"/>
            </w:r>
            <w:r>
              <w:rPr>
                <w:noProof/>
                <w:webHidden/>
              </w:rPr>
              <w:t>10</w:t>
            </w:r>
            <w:r>
              <w:rPr>
                <w:noProof/>
                <w:webHidden/>
              </w:rPr>
              <w:fldChar w:fldCharType="end"/>
            </w:r>
          </w:hyperlink>
        </w:p>
        <w:p w:rsidR="00BA29B8" w:rsidRDefault="00BA29B8" w14:paraId="177F374F" w14:textId="207684B8">
          <w:pPr>
            <w:pStyle w:val="TOC1"/>
            <w:rPr>
              <w:rFonts w:cstheme="minorBidi"/>
              <w:noProof/>
              <w:kern w:val="2"/>
              <w:lang w:val="en-GB" w:eastAsia="en-GB"/>
              <w14:ligatures w14:val="standardContextual"/>
            </w:rPr>
          </w:pPr>
          <w:hyperlink w:history="1" w:anchor="_Toc142400307">
            <w:r w:rsidRPr="00E1654F">
              <w:rPr>
                <w:rStyle w:val="Hyperlink"/>
                <w:noProof/>
              </w:rPr>
              <w:t>20.</w:t>
            </w:r>
            <w:r>
              <w:rPr>
                <w:rFonts w:cstheme="minorBidi"/>
                <w:noProof/>
                <w:kern w:val="2"/>
                <w:lang w:val="en-GB" w:eastAsia="en-GB"/>
                <w14:ligatures w14:val="standardContextual"/>
              </w:rPr>
              <w:tab/>
            </w:r>
            <w:r w:rsidRPr="00E1654F">
              <w:rPr>
                <w:rStyle w:val="Hyperlink"/>
                <w:noProof/>
              </w:rPr>
              <w:t>Academic Misconduct</w:t>
            </w:r>
            <w:r>
              <w:rPr>
                <w:noProof/>
                <w:webHidden/>
              </w:rPr>
              <w:tab/>
            </w:r>
            <w:r>
              <w:rPr>
                <w:noProof/>
                <w:webHidden/>
              </w:rPr>
              <w:fldChar w:fldCharType="begin"/>
            </w:r>
            <w:r>
              <w:rPr>
                <w:noProof/>
                <w:webHidden/>
              </w:rPr>
              <w:instrText xml:space="preserve"> PAGEREF _Toc142400307 \h </w:instrText>
            </w:r>
            <w:r>
              <w:rPr>
                <w:noProof/>
                <w:webHidden/>
              </w:rPr>
            </w:r>
            <w:r>
              <w:rPr>
                <w:noProof/>
                <w:webHidden/>
              </w:rPr>
              <w:fldChar w:fldCharType="separate"/>
            </w:r>
            <w:r>
              <w:rPr>
                <w:noProof/>
                <w:webHidden/>
              </w:rPr>
              <w:t>10</w:t>
            </w:r>
            <w:r>
              <w:rPr>
                <w:noProof/>
                <w:webHidden/>
              </w:rPr>
              <w:fldChar w:fldCharType="end"/>
            </w:r>
          </w:hyperlink>
        </w:p>
        <w:p w:rsidR="00BA29B8" w:rsidRDefault="00BA29B8" w14:paraId="06797F1C" w14:textId="0ACF9361">
          <w:pPr>
            <w:pStyle w:val="TOC1"/>
            <w:rPr>
              <w:rFonts w:cstheme="minorBidi"/>
              <w:noProof/>
              <w:kern w:val="2"/>
              <w:lang w:val="en-GB" w:eastAsia="en-GB"/>
              <w14:ligatures w14:val="standardContextual"/>
            </w:rPr>
          </w:pPr>
          <w:hyperlink w:history="1" w:anchor="_Toc142400308">
            <w:r w:rsidRPr="00E1654F">
              <w:rPr>
                <w:rStyle w:val="Hyperlink"/>
                <w:noProof/>
              </w:rPr>
              <w:t>21.</w:t>
            </w:r>
            <w:r>
              <w:rPr>
                <w:rFonts w:cstheme="minorBidi"/>
                <w:noProof/>
                <w:kern w:val="2"/>
                <w:lang w:val="en-GB" w:eastAsia="en-GB"/>
                <w14:ligatures w14:val="standardContextual"/>
              </w:rPr>
              <w:tab/>
            </w:r>
            <w:r w:rsidRPr="00E1654F">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_Toc142400308 \h </w:instrText>
            </w:r>
            <w:r>
              <w:rPr>
                <w:noProof/>
                <w:webHidden/>
              </w:rPr>
            </w:r>
            <w:r>
              <w:rPr>
                <w:noProof/>
                <w:webHidden/>
              </w:rPr>
              <w:fldChar w:fldCharType="separate"/>
            </w:r>
            <w:r>
              <w:rPr>
                <w:noProof/>
                <w:webHidden/>
              </w:rPr>
              <w:t>10</w:t>
            </w:r>
            <w:r>
              <w:rPr>
                <w:noProof/>
                <w:webHidden/>
              </w:rPr>
              <w:fldChar w:fldCharType="end"/>
            </w:r>
          </w:hyperlink>
        </w:p>
        <w:p w:rsidR="00BA29B8" w:rsidRDefault="00BA29B8" w14:paraId="7E0E0B7E" w14:textId="38A33979">
          <w:pPr>
            <w:pStyle w:val="TOC1"/>
            <w:rPr>
              <w:rFonts w:cstheme="minorBidi"/>
              <w:noProof/>
              <w:kern w:val="2"/>
              <w:lang w:val="en-GB" w:eastAsia="en-GB"/>
              <w14:ligatures w14:val="standardContextual"/>
            </w:rPr>
          </w:pPr>
          <w:hyperlink w:history="1" w:anchor="_Toc142400309">
            <w:r w:rsidRPr="00E1654F">
              <w:rPr>
                <w:rStyle w:val="Hyperlink"/>
                <w:noProof/>
              </w:rPr>
              <w:t>RESULTS AND AWARDS</w:t>
            </w:r>
            <w:r>
              <w:rPr>
                <w:noProof/>
                <w:webHidden/>
              </w:rPr>
              <w:tab/>
            </w:r>
            <w:r>
              <w:rPr>
                <w:noProof/>
                <w:webHidden/>
              </w:rPr>
              <w:fldChar w:fldCharType="begin"/>
            </w:r>
            <w:r>
              <w:rPr>
                <w:noProof/>
                <w:webHidden/>
              </w:rPr>
              <w:instrText xml:space="preserve"> PAGEREF _Toc142400309 \h </w:instrText>
            </w:r>
            <w:r>
              <w:rPr>
                <w:noProof/>
                <w:webHidden/>
              </w:rPr>
            </w:r>
            <w:r>
              <w:rPr>
                <w:noProof/>
                <w:webHidden/>
              </w:rPr>
              <w:fldChar w:fldCharType="separate"/>
            </w:r>
            <w:r>
              <w:rPr>
                <w:noProof/>
                <w:webHidden/>
              </w:rPr>
              <w:t>10</w:t>
            </w:r>
            <w:r>
              <w:rPr>
                <w:noProof/>
                <w:webHidden/>
              </w:rPr>
              <w:fldChar w:fldCharType="end"/>
            </w:r>
          </w:hyperlink>
        </w:p>
        <w:p w:rsidR="00BA29B8" w:rsidRDefault="00BA29B8" w14:paraId="7BDBD50F" w14:textId="6EC8D86D">
          <w:pPr>
            <w:pStyle w:val="TOC1"/>
            <w:rPr>
              <w:rFonts w:cstheme="minorBidi"/>
              <w:noProof/>
              <w:kern w:val="2"/>
              <w:lang w:val="en-GB" w:eastAsia="en-GB"/>
              <w14:ligatures w14:val="standardContextual"/>
            </w:rPr>
          </w:pPr>
          <w:hyperlink w:history="1" w:anchor="_Toc142400310">
            <w:r w:rsidRPr="00E1654F">
              <w:rPr>
                <w:rStyle w:val="Hyperlink"/>
                <w:noProof/>
              </w:rPr>
              <w:t>22.</w:t>
            </w:r>
            <w:r>
              <w:rPr>
                <w:rFonts w:cstheme="minorBidi"/>
                <w:noProof/>
                <w:kern w:val="2"/>
                <w:lang w:val="en-GB" w:eastAsia="en-GB"/>
                <w14:ligatures w14:val="standardContextual"/>
              </w:rPr>
              <w:tab/>
            </w:r>
            <w:r w:rsidRPr="00E1654F">
              <w:rPr>
                <w:rStyle w:val="Hyperlink"/>
                <w:noProof/>
              </w:rPr>
              <w:t>Notifications of Results and Transcripts</w:t>
            </w:r>
            <w:r>
              <w:rPr>
                <w:noProof/>
                <w:webHidden/>
              </w:rPr>
              <w:tab/>
            </w:r>
            <w:r>
              <w:rPr>
                <w:noProof/>
                <w:webHidden/>
              </w:rPr>
              <w:fldChar w:fldCharType="begin"/>
            </w:r>
            <w:r>
              <w:rPr>
                <w:noProof/>
                <w:webHidden/>
              </w:rPr>
              <w:instrText xml:space="preserve"> PAGEREF _Toc142400310 \h </w:instrText>
            </w:r>
            <w:r>
              <w:rPr>
                <w:noProof/>
                <w:webHidden/>
              </w:rPr>
            </w:r>
            <w:r>
              <w:rPr>
                <w:noProof/>
                <w:webHidden/>
              </w:rPr>
              <w:fldChar w:fldCharType="separate"/>
            </w:r>
            <w:r>
              <w:rPr>
                <w:noProof/>
                <w:webHidden/>
              </w:rPr>
              <w:t>10</w:t>
            </w:r>
            <w:r>
              <w:rPr>
                <w:noProof/>
                <w:webHidden/>
              </w:rPr>
              <w:fldChar w:fldCharType="end"/>
            </w:r>
          </w:hyperlink>
        </w:p>
        <w:p w:rsidR="00F24D55" w:rsidRDefault="00F24D55" w14:paraId="79CE4072" w14:textId="3B899D0E">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pgSz w:w="11906" w:h="16838"/>
          <w:pgMar w:top="1418" w:right="1440" w:bottom="1440" w:left="1440" w:header="708" w:footer="708" w:gutter="0"/>
          <w:cols w:space="708"/>
          <w:formProt w:val="0"/>
          <w:docGrid w:linePitch="360"/>
        </w:sectPr>
      </w:pPr>
    </w:p>
    <w:p w:rsidR="00704FE7" w:rsidP="00704FE7" w:rsidRDefault="00704FE7" w14:paraId="727D4D7D" w14:textId="206B6DCD">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704FE7" w:rsidTr="003D372A" w14:paraId="02F0079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142844" w:rsidP="003D372A" w:rsidRDefault="00142844" w14:paraId="1CF39980" w14:textId="77777777">
            <w:pPr>
              <w:spacing w:before="40" w:after="40"/>
              <w:jc w:val="center"/>
              <w:rPr>
                <w:rFonts w:ascii="Calibri" w:hAnsi="Calibri"/>
                <w:sz w:val="28"/>
                <w:szCs w:val="28"/>
              </w:rPr>
            </w:pPr>
          </w:p>
          <w:p w:rsidR="00142844" w:rsidP="003D372A" w:rsidRDefault="00142844" w14:paraId="6655592D" w14:textId="77777777">
            <w:pPr>
              <w:spacing w:before="40" w:after="40"/>
              <w:jc w:val="center"/>
              <w:rPr>
                <w:rFonts w:ascii="Calibri" w:hAnsi="Calibri"/>
                <w:sz w:val="28"/>
                <w:szCs w:val="28"/>
              </w:rPr>
            </w:pPr>
          </w:p>
          <w:sdt>
            <w:sdtPr>
              <w:rPr>
                <w:rFonts w:ascii="Calibri" w:hAnsi="Calibri"/>
                <w:sz w:val="28"/>
                <w:szCs w:val="28"/>
              </w:rPr>
              <w:id w:val="1590342235"/>
              <w:placeholder>
                <w:docPart w:val="441778CDCFB040C796E3170B4CBC6BD0"/>
              </w:placeholder>
            </w:sdtPr>
            <w:sdtEndPr/>
            <w:sdtContent>
              <w:p w:rsidRPr="00617924" w:rsidR="00704FE7" w:rsidP="0009392E" w:rsidRDefault="007902FA" w14:paraId="4C12A926" w14:textId="1E67FBA1">
                <w:pPr>
                  <w:spacing w:before="40" w:after="40"/>
                  <w:jc w:val="center"/>
                  <w:rPr>
                    <w:rFonts w:ascii="Calibri" w:hAnsi="Calibri"/>
                    <w:sz w:val="28"/>
                    <w:szCs w:val="28"/>
                  </w:rPr>
                </w:pPr>
                <w:r w:rsidRPr="007902FA">
                  <w:rPr>
                    <w:rFonts w:ascii="Calibri" w:hAnsi="Calibri"/>
                    <w:sz w:val="28"/>
                    <w:szCs w:val="28"/>
                  </w:rPr>
                  <w:t>Doctor of Psychology (PsyD) by Thesis</w:t>
                </w:r>
              </w:p>
            </w:sdtContent>
          </w:sdt>
        </w:tc>
      </w:tr>
    </w:tbl>
    <w:p w:rsidRPr="00CE07EB" w:rsidR="00CE07EB" w:rsidP="00CE07EB" w:rsidRDefault="00CE07EB" w14:paraId="7BDADFE3" w14:textId="24CF2B0A">
      <w:pPr>
        <w:spacing w:after="120" w:line="240" w:lineRule="auto"/>
        <w:rPr>
          <w:rFonts w:ascii="Calibri" w:hAnsi="Calibri" w:cs="Arial"/>
          <w:b/>
          <w:bCs/>
        </w:rPr>
      </w:pPr>
    </w:p>
    <w:p w:rsidRPr="00CE07EB" w:rsidR="005A6998" w:rsidP="003D05A7" w:rsidRDefault="005A6998" w14:paraId="1BA8A9EC" w14:textId="53169982">
      <w:pPr>
        <w:pStyle w:val="Heading1"/>
        <w:numPr>
          <w:ilvl w:val="0"/>
          <w:numId w:val="0"/>
        </w:numPr>
        <w:ind w:left="680"/>
      </w:pPr>
      <w:bookmarkStart w:name="_Toc142400281" w:id="0"/>
      <w:r w:rsidRPr="00CE07EB">
        <w:t>Introductio</w:t>
      </w:r>
      <w:r w:rsidR="00755DC9">
        <w:t>n</w:t>
      </w:r>
      <w:bookmarkEnd w:id="0"/>
    </w:p>
    <w:p w:rsidR="0009392E" w:rsidP="0009392E" w:rsidRDefault="008C2C31" w14:paraId="3A61AF26" w14:textId="1111E23C">
      <w:pPr>
        <w:pStyle w:val="numberedmainbody"/>
        <w:numPr>
          <w:ilvl w:val="0"/>
          <w:numId w:val="0"/>
        </w:numPr>
        <w:ind w:left="680"/>
      </w:pPr>
      <w:r>
        <w:t xml:space="preserve">The following </w:t>
      </w:r>
      <w:r w:rsidR="00B938AF">
        <w:t>University regulations apply to</w:t>
      </w:r>
      <w:r w:rsidR="0009392E">
        <w:t xml:space="preserve"> all higher degrees classified by the </w:t>
      </w:r>
      <w:r w:rsidR="004C6297">
        <w:t>Research Degrees Committee as Psy</w:t>
      </w:r>
      <w:r w:rsidR="0009392E">
        <w:t>D by thesis.</w:t>
      </w:r>
    </w:p>
    <w:p w:rsidR="008C2C31" w:rsidP="0009392E" w:rsidRDefault="0009392E" w14:paraId="015E5773" w14:textId="3ECFB652">
      <w:pPr>
        <w:pStyle w:val="numberedmainbody"/>
        <w:numPr>
          <w:ilvl w:val="0"/>
          <w:numId w:val="0"/>
        </w:numPr>
        <w:ind w:left="680"/>
      </w:pPr>
      <w:r>
        <w:t>These regulations include applications for admission to the above degrees both by candidates who are members of staff of the University (whether teaching, research or other category) and those who are not members of staff of the University</w:t>
      </w:r>
    </w:p>
    <w:p w:rsidR="00B970CE" w:rsidP="008C2C31" w:rsidRDefault="00B970CE" w14:paraId="6C133C42" w14:textId="4F83FF42">
      <w:pPr>
        <w:pStyle w:val="numberedmainbody"/>
        <w:numPr>
          <w:ilvl w:val="0"/>
          <w:numId w:val="0"/>
        </w:numPr>
        <w:ind w:left="680"/>
      </w:pPr>
      <w:r w:rsidRPr="007B193C">
        <w:t>The University Research Degrees Committee is the final arbiter of matters regarding the application and/or interpretation of the Regulations.</w:t>
      </w:r>
    </w:p>
    <w:p w:rsidR="0032511D" w:rsidP="008C2C31" w:rsidRDefault="008C2C31" w14:paraId="1EBC80E3" w14:textId="033D198C">
      <w:pPr>
        <w:pStyle w:val="Heading1"/>
        <w:numPr>
          <w:ilvl w:val="0"/>
          <w:numId w:val="0"/>
        </w:numPr>
        <w:ind w:left="680"/>
      </w:pPr>
      <w:bookmarkStart w:name="_Toc142400282" w:id="1"/>
      <w:r>
        <w:t>ADMISSION AND ENROLMENT</w:t>
      </w:r>
      <w:bookmarkEnd w:id="1"/>
    </w:p>
    <w:p w:rsidR="008C2C31" w:rsidP="008C2C31" w:rsidRDefault="008C2C31" w14:paraId="5A09C20F" w14:textId="7329B8C4">
      <w:pPr>
        <w:pStyle w:val="Heading1"/>
      </w:pPr>
      <w:bookmarkStart w:name="_Toc142400283" w:id="2"/>
      <w:r>
        <w:t>Academic Year</w:t>
      </w:r>
      <w:bookmarkEnd w:id="2"/>
    </w:p>
    <w:p w:rsidRPr="008C2C31" w:rsidR="008C2C31" w:rsidP="008C2C31" w:rsidRDefault="008C2C31" w14:paraId="22A2292C" w14:textId="0C52306A">
      <w:pPr>
        <w:pStyle w:val="numberedmainbody"/>
      </w:pPr>
      <w:r w:rsidRPr="008C2C31">
        <w:t>For the purposes of these regulations the academic year is considered to consist of three periods, the first two coinciding broadly with the undergraduate trimesters.</w:t>
      </w:r>
    </w:p>
    <w:p w:rsidR="008C2C31" w:rsidP="008C2C31" w:rsidRDefault="008C2C31" w14:paraId="229BB117" w14:textId="44BE4E97">
      <w:pPr>
        <w:pStyle w:val="Heading1"/>
      </w:pPr>
      <w:bookmarkStart w:name="_Toc142400284" w:id="3"/>
      <w:r>
        <w:t>Admission to a Programme</w:t>
      </w:r>
      <w:bookmarkEnd w:id="3"/>
    </w:p>
    <w:p w:rsidR="008C2C31" w:rsidP="008C2C31" w:rsidRDefault="008C2C31" w14:paraId="2E48EDF2" w14:textId="2FB905B1">
      <w:pPr>
        <w:pStyle w:val="numberedmainbody"/>
      </w:pPr>
      <w:r>
        <w:t xml:space="preserve">To be admitted </w:t>
      </w:r>
      <w:proofErr w:type="gramStart"/>
      <w:r>
        <w:t>to undertake</w:t>
      </w:r>
      <w:proofErr w:type="gramEnd"/>
      <w:r>
        <w:t xml:space="preserve"> the degree of </w:t>
      </w:r>
      <w:r w:rsidR="004C6297">
        <w:t>Doctor of Psychology</w:t>
      </w:r>
      <w:r>
        <w:t xml:space="preserve"> a candidate shall:</w:t>
      </w:r>
    </w:p>
    <w:p w:rsidR="004C6297" w:rsidP="00B938AF" w:rsidRDefault="004C6297" w14:paraId="3EB884D8" w14:textId="77777777">
      <w:pPr>
        <w:pStyle w:val="numberedmainbody"/>
        <w:numPr>
          <w:ilvl w:val="0"/>
          <w:numId w:val="2"/>
        </w:numPr>
        <w:spacing w:before="0" w:after="0"/>
      </w:pPr>
      <w:r>
        <w:t>have been awarded the MSc degree in a professional area of psychology of this University or to the corresponding degree in another university approved by the Research Degrees Committee for this purpose, and</w:t>
      </w:r>
    </w:p>
    <w:p w:rsidR="004C6297" w:rsidP="00B938AF" w:rsidRDefault="004C6297" w14:paraId="23AB5593" w14:textId="5EDAD7B6">
      <w:pPr>
        <w:pStyle w:val="numberedmainbody"/>
        <w:numPr>
          <w:ilvl w:val="0"/>
          <w:numId w:val="2"/>
        </w:numPr>
        <w:spacing w:before="0" w:after="0"/>
      </w:pPr>
      <w:r>
        <w:t>be a Chartered Psychologist, and</w:t>
      </w:r>
    </w:p>
    <w:p w:rsidR="0009392E" w:rsidP="00B938AF" w:rsidRDefault="004C6297" w14:paraId="114436EF" w14:textId="29246C54">
      <w:pPr>
        <w:pStyle w:val="numberedmainbody"/>
        <w:numPr>
          <w:ilvl w:val="0"/>
          <w:numId w:val="2"/>
        </w:numPr>
        <w:spacing w:before="0" w:after="0"/>
      </w:pPr>
      <w:r>
        <w:t xml:space="preserve">have engaged in practice in a </w:t>
      </w:r>
      <w:proofErr w:type="spellStart"/>
      <w:r>
        <w:t>specialised</w:t>
      </w:r>
      <w:proofErr w:type="spellEnd"/>
      <w:r>
        <w:t xml:space="preserve"> professional area of psychology for no fewer than two years since satisfying the requirements of 2.1 (a) and (b).</w:t>
      </w:r>
    </w:p>
    <w:p w:rsidR="00CB4F3E" w:rsidP="00CB4F3E" w:rsidRDefault="00CB4F3E" w14:paraId="4695DB25" w14:textId="77777777">
      <w:pPr>
        <w:pStyle w:val="numberedmainbody"/>
        <w:numPr>
          <w:ilvl w:val="0"/>
          <w:numId w:val="0"/>
        </w:numPr>
        <w:spacing w:before="0" w:after="0"/>
        <w:ind w:left="1800"/>
      </w:pPr>
    </w:p>
    <w:tbl>
      <w:tblPr>
        <w:tblStyle w:val="TableGrid"/>
        <w:tblW w:w="0" w:type="auto"/>
        <w:tblInd w:w="720" w:type="dxa"/>
        <w:tblLook w:val="04A0" w:firstRow="1" w:lastRow="0" w:firstColumn="1" w:lastColumn="0" w:noHBand="0" w:noVBand="1"/>
      </w:tblPr>
      <w:tblGrid>
        <w:gridCol w:w="8296"/>
      </w:tblGrid>
      <w:tr w:rsidR="00CB4F3E" w:rsidTr="00CB4F3E" w14:paraId="4CF15839" w14:textId="77777777">
        <w:tc>
          <w:tcPr>
            <w:tcW w:w="9016" w:type="dxa"/>
          </w:tcPr>
          <w:p w:rsidRPr="00CB4F3E" w:rsidR="00CB4F3E" w:rsidP="00CB4F3E" w:rsidRDefault="00CB4F3E" w14:paraId="5C2D3259" w14:textId="755C8A42">
            <w:pPr>
              <w:spacing w:line="259" w:lineRule="auto"/>
              <w:rPr>
                <w:i/>
                <w:sz w:val="18"/>
                <w:szCs w:val="18"/>
              </w:rPr>
            </w:pPr>
            <w:r w:rsidRPr="0009392E">
              <w:rPr>
                <w:i/>
                <w:sz w:val="18"/>
                <w:szCs w:val="18"/>
              </w:rPr>
              <w:t xml:space="preserve">Students who are nearing completion of their </w:t>
            </w:r>
            <w:r>
              <w:rPr>
                <w:i/>
                <w:sz w:val="18"/>
                <w:szCs w:val="18"/>
              </w:rPr>
              <w:t>MSc</w:t>
            </w:r>
            <w:r w:rsidRPr="0009392E">
              <w:rPr>
                <w:i/>
                <w:sz w:val="18"/>
                <w:szCs w:val="18"/>
              </w:rPr>
              <w:t xml:space="preserve"> programme but have not yet been awarded the degree may be con</w:t>
            </w:r>
            <w:r>
              <w:rPr>
                <w:i/>
                <w:sz w:val="18"/>
                <w:szCs w:val="18"/>
              </w:rPr>
              <w:t>ditionally accepted on to the Psy</w:t>
            </w:r>
            <w:r w:rsidRPr="0009392E">
              <w:rPr>
                <w:i/>
                <w:sz w:val="18"/>
                <w:szCs w:val="18"/>
              </w:rPr>
              <w:t>D programme.</w:t>
            </w:r>
          </w:p>
        </w:tc>
      </w:tr>
    </w:tbl>
    <w:p w:rsidR="00CB4F3E" w:rsidP="00CB4F3E" w:rsidRDefault="00CB4F3E" w14:paraId="5174EECB" w14:textId="77777777">
      <w:pPr>
        <w:pStyle w:val="numberedmainbody"/>
        <w:numPr>
          <w:ilvl w:val="0"/>
          <w:numId w:val="0"/>
        </w:numPr>
        <w:spacing w:before="0" w:after="0"/>
      </w:pPr>
    </w:p>
    <w:p w:rsidR="00036C44" w:rsidP="00CB4F3E" w:rsidRDefault="00036C44" w14:paraId="06055FA7" w14:textId="47001320">
      <w:pPr>
        <w:pStyle w:val="Heading1"/>
        <w:spacing w:before="0" w:after="0"/>
      </w:pPr>
      <w:bookmarkStart w:name="_Toc142400285" w:id="4"/>
      <w:r>
        <w:t>Duration of prescribed period of study</w:t>
      </w:r>
      <w:bookmarkEnd w:id="4"/>
    </w:p>
    <w:p w:rsidR="004C6297" w:rsidP="00CB4F3E" w:rsidRDefault="004C6297" w14:paraId="3063C6FE" w14:textId="77777777">
      <w:pPr>
        <w:pStyle w:val="numberedmainbody"/>
        <w:spacing w:before="0" w:after="0"/>
      </w:pPr>
      <w:r w:rsidRPr="004C6297">
        <w:t xml:space="preserve">The prescribed period of study, supervision and area of research shall be approved by the Research Degrees Committee and last for a period of two years on a part-time basis only </w:t>
      </w:r>
    </w:p>
    <w:p w:rsidR="0009392E" w:rsidP="004C6297" w:rsidRDefault="0009392E" w14:paraId="5AC373A3" w14:textId="4ED3F9E4">
      <w:pPr>
        <w:pStyle w:val="numberedmainbody"/>
      </w:pPr>
      <w:r>
        <w:t xml:space="preserve">Any period of suspension of study granted in accordance with regulations </w:t>
      </w:r>
      <w:r w:rsidR="004C6297">
        <w:t>9 or 10</w:t>
      </w:r>
      <w:r>
        <w:t xml:space="preserve"> shall </w:t>
      </w:r>
      <w:r w:rsidR="004C6297">
        <w:t xml:space="preserve">be disregarded in determining </w:t>
      </w:r>
      <w:r>
        <w:t>the pr</w:t>
      </w:r>
      <w:r w:rsidR="004C6297">
        <w:t>escribed period of study under 3</w:t>
      </w:r>
      <w:r>
        <w:t>.1 above.</w:t>
      </w:r>
    </w:p>
    <w:p w:rsidR="0008359E" w:rsidP="0008359E" w:rsidRDefault="0008359E" w14:paraId="579E7633" w14:textId="3F93F75A">
      <w:pPr>
        <w:pStyle w:val="Heading1"/>
      </w:pPr>
      <w:bookmarkStart w:name="_Toc142400286" w:id="5"/>
      <w:r>
        <w:t>Candidates who are member of staff of the University</w:t>
      </w:r>
      <w:bookmarkEnd w:id="5"/>
    </w:p>
    <w:p w:rsidR="0008359E" w:rsidP="0008359E" w:rsidRDefault="0008359E" w14:paraId="1D2D68D8" w14:textId="767116DD">
      <w:pPr>
        <w:pStyle w:val="numberedmainbody"/>
      </w:pPr>
      <w:r>
        <w:t xml:space="preserve">The following </w:t>
      </w:r>
      <w:proofErr w:type="gramStart"/>
      <w:r>
        <w:t>apply</w:t>
      </w:r>
      <w:proofErr w:type="gramEnd"/>
      <w:r>
        <w:t xml:space="preserve"> only to candidates who are members of staff of the University, whether teaching, research or </w:t>
      </w:r>
      <w:proofErr w:type="gramStart"/>
      <w:r>
        <w:t>other</w:t>
      </w:r>
      <w:proofErr w:type="gramEnd"/>
      <w:r>
        <w:t xml:space="preserve"> category unless otherwise stated.</w:t>
      </w:r>
    </w:p>
    <w:p w:rsidR="0008359E" w:rsidP="0008359E" w:rsidRDefault="0008359E" w14:paraId="366A3233" w14:textId="758DF257">
      <w:pPr>
        <w:pStyle w:val="numberedmainbody"/>
      </w:pPr>
      <w:r>
        <w:t xml:space="preserve">Members of staff, other than those who are employed </w:t>
      </w:r>
      <w:proofErr w:type="gramStart"/>
      <w:r>
        <w:t>to</w:t>
      </w:r>
      <w:proofErr w:type="gramEnd"/>
      <w:r>
        <w:t xml:space="preserve"> research, must be enrolled as part-time students.</w:t>
      </w:r>
    </w:p>
    <w:p w:rsidR="00137F6F" w:rsidP="00137F6F" w:rsidRDefault="00137F6F" w14:paraId="6196F887" w14:textId="5758A26C">
      <w:pPr>
        <w:pStyle w:val="numberedmainbody"/>
      </w:pPr>
      <w:r w:rsidRPr="00137F6F">
        <w:t xml:space="preserve">A candidate may be permitted to spend no more than one </w:t>
      </w:r>
      <w:proofErr w:type="gramStart"/>
      <w:r w:rsidRPr="00137F6F">
        <w:t>year of the period</w:t>
      </w:r>
      <w:proofErr w:type="gramEnd"/>
      <w:r w:rsidRPr="00137F6F">
        <w:t xml:space="preserve"> of study at </w:t>
      </w:r>
      <w:r w:rsidRPr="00137F6F">
        <w:lastRenderedPageBreak/>
        <w:t>another institution approved by the Research Degrees Committee for this purpose</w:t>
      </w:r>
    </w:p>
    <w:p w:rsidR="0008359E" w:rsidP="0008359E" w:rsidRDefault="0008359E" w14:paraId="6B71E579" w14:textId="529A8BFF">
      <w:pPr>
        <w:pStyle w:val="numberedmainbody"/>
      </w:pPr>
      <w:proofErr w:type="gramStart"/>
      <w:r>
        <w:t>For the purpose of</w:t>
      </w:r>
      <w:proofErr w:type="gramEnd"/>
      <w:r>
        <w:t xml:space="preserve"> these </w:t>
      </w:r>
      <w:proofErr w:type="gramStart"/>
      <w:r>
        <w:t>regulations</w:t>
      </w:r>
      <w:proofErr w:type="gramEnd"/>
      <w:r>
        <w:t xml:space="preserve"> members of the research staff who are engaged in teaching </w:t>
      </w:r>
      <w:proofErr w:type="gramStart"/>
      <w:r>
        <w:t>in</w:t>
      </w:r>
      <w:proofErr w:type="gramEnd"/>
      <w:r>
        <w:t xml:space="preserve"> the University for not more than six </w:t>
      </w:r>
      <w:proofErr w:type="gramStart"/>
      <w:r>
        <w:t>hours in</w:t>
      </w:r>
      <w:proofErr w:type="gramEnd"/>
      <w:r>
        <w:t xml:space="preserve"> a week shall be deemed to devote their whole time to research.</w:t>
      </w:r>
    </w:p>
    <w:p w:rsidR="006E1683" w:rsidP="006E1683" w:rsidRDefault="006E1683" w14:paraId="1881C07F" w14:textId="6AA8B03E">
      <w:pPr>
        <w:pStyle w:val="Heading1"/>
        <w:numPr>
          <w:ilvl w:val="0"/>
          <w:numId w:val="0"/>
        </w:numPr>
        <w:ind w:left="680"/>
      </w:pPr>
      <w:bookmarkStart w:name="_Toc142400287" w:id="6"/>
      <w:r>
        <w:t>SUPERVISION AND PROGRESS MONITORING</w:t>
      </w:r>
      <w:bookmarkEnd w:id="6"/>
    </w:p>
    <w:p w:rsidR="006E1683" w:rsidP="006E1683" w:rsidRDefault="006E1683" w14:paraId="5C73A481" w14:textId="33CAC014">
      <w:pPr>
        <w:pStyle w:val="Heading1"/>
      </w:pPr>
      <w:bookmarkStart w:name="_Toc142400288" w:id="7"/>
      <w:r>
        <w:t>Supervision</w:t>
      </w:r>
      <w:bookmarkEnd w:id="7"/>
    </w:p>
    <w:p w:rsidR="006E1683" w:rsidP="006E1683" w:rsidRDefault="006E1683" w14:paraId="761FF92B" w14:textId="77777777">
      <w:pPr>
        <w:pStyle w:val="numberedmainbody"/>
      </w:pPr>
      <w:r>
        <w:t>A principal supervisor and at least one other (second) supervisor shall be appointed for each candidate.</w:t>
      </w:r>
    </w:p>
    <w:p w:rsidR="006E1683" w:rsidP="006E1683" w:rsidRDefault="006E1683" w14:paraId="715A27C8" w14:textId="2A175661">
      <w:pPr>
        <w:pStyle w:val="numberedmainbody"/>
      </w:pPr>
      <w:r>
        <w:t>Supervision of the candidate’s thesis shall be conducted in accordance with any code of practice approved by the Research Degrees Committee for the purpose.</w:t>
      </w:r>
    </w:p>
    <w:p w:rsidR="004C6297" w:rsidP="004C6297" w:rsidRDefault="004C6297" w14:paraId="6DA51EC5" w14:textId="77777777">
      <w:pPr>
        <w:pStyle w:val="numberedmainbody"/>
      </w:pPr>
      <w:r>
        <w:t>Before the candidate begins the prescribed period of study, the academic unit shall be satisfied that the candidate is able to complete the research and has adequate facilities to pursue the research.</w:t>
      </w:r>
    </w:p>
    <w:p w:rsidR="004C6297" w:rsidP="004C6297" w:rsidRDefault="004C6297" w14:paraId="26005A87" w14:textId="0052BBEA">
      <w:pPr>
        <w:pStyle w:val="numberedmainbody"/>
      </w:pPr>
      <w:r>
        <w:t>The supervisors must meet the candidate at least six times per year.</w:t>
      </w:r>
    </w:p>
    <w:p w:rsidR="006E1683" w:rsidP="00C72650" w:rsidRDefault="004C6297" w14:paraId="06457855" w14:textId="4113BB4A">
      <w:pPr>
        <w:pStyle w:val="numberedmainbody"/>
      </w:pPr>
      <w:r>
        <w:t xml:space="preserve">The supervisors shall have access to the </w:t>
      </w:r>
      <w:proofErr w:type="spellStart"/>
      <w:r>
        <w:t>organisation</w:t>
      </w:r>
      <w:proofErr w:type="spellEnd"/>
      <w:r>
        <w:t xml:space="preserve"> in which the candidate’s research is being pursued </w:t>
      </w:r>
      <w:proofErr w:type="gramStart"/>
      <w:r>
        <w:t>in order to</w:t>
      </w:r>
      <w:proofErr w:type="gramEnd"/>
      <w:r>
        <w:t xml:space="preserve"> examine the candidate’s work and facilities.</w:t>
      </w:r>
    </w:p>
    <w:tbl>
      <w:tblPr>
        <w:tblStyle w:val="TableGrid"/>
        <w:tblW w:w="0" w:type="auto"/>
        <w:tblInd w:w="680" w:type="dxa"/>
        <w:tblLook w:val="04A0" w:firstRow="1" w:lastRow="0" w:firstColumn="1" w:lastColumn="0" w:noHBand="0" w:noVBand="1"/>
      </w:tblPr>
      <w:tblGrid>
        <w:gridCol w:w="8336"/>
      </w:tblGrid>
      <w:tr w:rsidR="00CB4F3E" w:rsidTr="00CB4F3E" w14:paraId="4DAD91E2" w14:textId="77777777">
        <w:tc>
          <w:tcPr>
            <w:tcW w:w="9016" w:type="dxa"/>
          </w:tcPr>
          <w:p w:rsidRPr="00CB4F3E" w:rsidR="00CB4F3E" w:rsidP="00CB4F3E" w:rsidRDefault="00CB4F3E" w14:paraId="30913511" w14:textId="2A455EF3">
            <w:pPr>
              <w:spacing w:after="160" w:line="259" w:lineRule="auto"/>
              <w:rPr>
                <w:i/>
                <w:sz w:val="18"/>
                <w:szCs w:val="18"/>
              </w:rPr>
            </w:pPr>
            <w:r>
              <w:rPr>
                <w:i/>
                <w:sz w:val="18"/>
                <w:szCs w:val="18"/>
              </w:rPr>
              <w:t xml:space="preserve">University </w:t>
            </w:r>
            <w:r w:rsidRPr="006E1683">
              <w:rPr>
                <w:i/>
                <w:sz w:val="18"/>
                <w:szCs w:val="18"/>
              </w:rPr>
              <w:t>Code of Practice: Postgraduate Research Students details the rights and responsibilities of supervisors and supervisees; supervisors are responsible for advising candidates on their research training needs, including through the annual Training Needs Analysis, to meet the requirement</w:t>
            </w:r>
            <w:r>
              <w:rPr>
                <w:i/>
                <w:sz w:val="18"/>
                <w:szCs w:val="18"/>
              </w:rPr>
              <w:t>s for research training – reg. 7.</w:t>
            </w:r>
          </w:p>
        </w:tc>
      </w:tr>
    </w:tbl>
    <w:p w:rsidR="00CB4F3E" w:rsidP="00CB4F3E" w:rsidRDefault="00CB4F3E" w14:paraId="21A022DC" w14:textId="77777777">
      <w:pPr>
        <w:pStyle w:val="numberedmainbody"/>
        <w:numPr>
          <w:ilvl w:val="0"/>
          <w:numId w:val="0"/>
        </w:numPr>
        <w:spacing w:before="0" w:after="0"/>
      </w:pPr>
    </w:p>
    <w:p w:rsidR="006E1683" w:rsidP="00CB4F3E" w:rsidRDefault="006E1683" w14:paraId="5CFC762A" w14:textId="4D919BC0">
      <w:pPr>
        <w:pStyle w:val="Heading1"/>
        <w:spacing w:before="0" w:after="0"/>
      </w:pPr>
      <w:bookmarkStart w:name="_Toc142400289" w:id="8"/>
      <w:r>
        <w:t>Evidence of satisfactory academic progress</w:t>
      </w:r>
      <w:bookmarkEnd w:id="8"/>
    </w:p>
    <w:p w:rsidR="006E1683" w:rsidP="006E1683" w:rsidRDefault="006E1683" w14:paraId="44A38912" w14:textId="77777777">
      <w:pPr>
        <w:pStyle w:val="numberedmainbody"/>
      </w:pPr>
      <w:r>
        <w:t>A system for monitoring the progress of a candidate shall be in place in accordance with criteria prescribed by the Research Degrees Committee.</w:t>
      </w:r>
    </w:p>
    <w:p w:rsidR="006E1683" w:rsidP="006E1683" w:rsidRDefault="006E1683" w14:paraId="13E44122" w14:textId="6A4239C3">
      <w:pPr>
        <w:pStyle w:val="numberedmainbody"/>
      </w:pPr>
      <w:r>
        <w:t>Academic units may define specific criteria and procedures through which candidates will be required to demonstrate satisfactory progress throughout the prescribed period of study, provided that such criteria and process shall be provided to candidates in writing no later than the commencement of their prescribed period of study. Criteria and procedures shall be subject to the approval of the Research Degrees Committee.</w:t>
      </w:r>
    </w:p>
    <w:p w:rsidR="006E1683" w:rsidP="006E1683" w:rsidRDefault="006E1683" w14:paraId="6610FC99" w14:textId="07E969CA">
      <w:pPr>
        <w:pStyle w:val="numberedmainbody"/>
      </w:pPr>
      <w:r>
        <w:t xml:space="preserve">A candidate’s prescribed period of study may be terminated on the grounds of unsatisfactory progress as measured against criteria established under </w:t>
      </w:r>
      <w:r w:rsidR="00C72650">
        <w:t>6</w:t>
      </w:r>
      <w:r w:rsidR="00C10622">
        <w:t>.2</w:t>
      </w:r>
      <w:r>
        <w:t xml:space="preserve"> provided that the candidate has first been issued with a University Warning by Research Degrees Committee, accompanied by written guidance as to what improvement is required and in accordance with the University Code of Practice Research Degrees: Termination of Candidature. The decision to terminate the prescribed period of study shall be made by the Chair of the Research Degrees Committee on the recommendation of the Head of Academic Unit and </w:t>
      </w:r>
      <w:r w:rsidRPr="003A0127">
        <w:t>relevant Graduate Research Director.</w:t>
      </w:r>
    </w:p>
    <w:p w:rsidRPr="003A0127" w:rsidR="00C10622" w:rsidP="00C10622" w:rsidRDefault="00C10622" w14:paraId="3028F4C0" w14:textId="708EC306">
      <w:pPr>
        <w:pStyle w:val="numberedmainbody"/>
      </w:pPr>
      <w:r w:rsidRPr="00C10622">
        <w:t>Where the academic unit is satisfied that the candidate is not making satisfactory</w:t>
      </w:r>
      <w:r w:rsidR="00C72650">
        <w:t xml:space="preserve"> progress towards achieving a Psy</w:t>
      </w:r>
      <w:r w:rsidRPr="00C10622">
        <w:t xml:space="preserve">D, but may be able to achieve a </w:t>
      </w:r>
      <w:proofErr w:type="gramStart"/>
      <w:r w:rsidRPr="00C10622">
        <w:t>Masters</w:t>
      </w:r>
      <w:proofErr w:type="gramEnd"/>
      <w:r w:rsidRPr="00C10622">
        <w:t xml:space="preserve"> by Thesis, a recommendation may be made to the Chair of the Research Degrees Committee that the candidate be transferred to the appropriate </w:t>
      </w:r>
      <w:proofErr w:type="spellStart"/>
      <w:proofErr w:type="gramStart"/>
      <w:r w:rsidRPr="00C10622">
        <w:t>Masters</w:t>
      </w:r>
      <w:proofErr w:type="spellEnd"/>
      <w:proofErr w:type="gramEnd"/>
      <w:r w:rsidRPr="00C10622">
        <w:t xml:space="preserve"> degree, with an agreed deadline for submission.</w:t>
      </w:r>
    </w:p>
    <w:p w:rsidRPr="003A0127" w:rsidR="006E1683" w:rsidP="006E1683" w:rsidRDefault="006E1683" w14:paraId="42AA3062" w14:textId="1F1FA6D7">
      <w:pPr>
        <w:pStyle w:val="Heading1"/>
        <w:numPr>
          <w:ilvl w:val="0"/>
          <w:numId w:val="0"/>
        </w:numPr>
        <w:ind w:left="680"/>
      </w:pPr>
      <w:bookmarkStart w:name="_Toc142400290" w:id="9"/>
      <w:r w:rsidRPr="003A0127">
        <w:lastRenderedPageBreak/>
        <w:t>RESEARCH TRAINING</w:t>
      </w:r>
      <w:bookmarkEnd w:id="9"/>
    </w:p>
    <w:p w:rsidRPr="003A0127" w:rsidR="006E1683" w:rsidP="006E1683" w:rsidRDefault="00C72AD9" w14:paraId="1C5043D9" w14:textId="4DB0D91F">
      <w:pPr>
        <w:pStyle w:val="Heading1"/>
      </w:pPr>
      <w:r>
        <w:t>PGR Development Programme</w:t>
      </w:r>
    </w:p>
    <w:p w:rsidR="00C72650" w:rsidP="00C72650" w:rsidRDefault="00C72650" w14:paraId="00A9B23E" w14:textId="5429AA87">
      <w:pPr>
        <w:pStyle w:val="numberedmainbody"/>
      </w:pPr>
      <w:r w:rsidRPr="00C72650">
        <w:t xml:space="preserve">Other than as specified in the Programme of Study candidates shall be exempt from the requirements of the </w:t>
      </w:r>
      <w:r w:rsidR="00C72AD9">
        <w:t>PGR Development Programme</w:t>
      </w:r>
      <w:r w:rsidRPr="00C72650">
        <w:t xml:space="preserve">. </w:t>
      </w:r>
    </w:p>
    <w:p w:rsidR="008F1CA5" w:rsidP="00C72650" w:rsidRDefault="008F1CA5" w14:paraId="1321E120" w14:textId="5CE963E2">
      <w:pPr>
        <w:pStyle w:val="Heading1"/>
        <w:numPr>
          <w:ilvl w:val="0"/>
          <w:numId w:val="0"/>
        </w:numPr>
        <w:ind w:left="680"/>
      </w:pPr>
      <w:bookmarkStart w:name="_Toc142400292" w:id="10"/>
      <w:r>
        <w:t>SUSPENSION OF STUDY AND REPEAT PERIODS</w:t>
      </w:r>
      <w:bookmarkEnd w:id="10"/>
    </w:p>
    <w:p w:rsidR="008F1CA5" w:rsidP="008F1CA5" w:rsidRDefault="008F1CA5" w14:paraId="0335C00F" w14:textId="561AB0B0">
      <w:pPr>
        <w:pStyle w:val="Heading1"/>
        <w:spacing w:before="120"/>
      </w:pPr>
      <w:bookmarkStart w:name="_Toc142400293" w:id="11"/>
      <w:r>
        <w:t>Permitted duration for the accumulation of credits</w:t>
      </w:r>
      <w:bookmarkEnd w:id="11"/>
    </w:p>
    <w:p w:rsidRPr="00C10622" w:rsidR="00C10622" w:rsidP="00C10622" w:rsidRDefault="003A0127" w14:paraId="65188255" w14:textId="75788671">
      <w:pPr>
        <w:pStyle w:val="numberedmainbody"/>
        <w:rPr>
          <w:rFonts w:asciiTheme="minorHAnsi" w:hAnsiTheme="minorHAnsi" w:eastAsiaTheme="majorEastAsia" w:cstheme="majorBidi"/>
          <w:b/>
          <w:szCs w:val="32"/>
          <w:lang w:val="en-GB" w:eastAsia="zh-CN"/>
        </w:rPr>
      </w:pPr>
      <w:r w:rsidRPr="003A0127">
        <w:t xml:space="preserve">A qualification shall not be awarded to a candidate who has not completed </w:t>
      </w:r>
      <w:r w:rsidR="00C72650">
        <w:t xml:space="preserve">any specified </w:t>
      </w:r>
      <w:r w:rsidRPr="003A0127">
        <w:t>training credits and the thesis for examination by the</w:t>
      </w:r>
      <w:r w:rsidR="00C10622">
        <w:t xml:space="preserve"> </w:t>
      </w:r>
      <w:r w:rsidRPr="00C10622" w:rsidR="00C10622">
        <w:t>seventh anniversary</w:t>
      </w:r>
      <w:r w:rsidR="00C72650">
        <w:t xml:space="preserve"> of initial enrolment for the Psy</w:t>
      </w:r>
      <w:r w:rsidRPr="00C10622" w:rsidR="00C10622">
        <w:t>D</w:t>
      </w:r>
      <w:r w:rsidR="00C72650">
        <w:t xml:space="preserve">. </w:t>
      </w:r>
    </w:p>
    <w:p w:rsidRPr="00F601D7" w:rsidR="001F10F7" w:rsidP="003A0127" w:rsidRDefault="001F10F7" w14:paraId="5F008B35" w14:textId="5A1C5B2F">
      <w:pPr>
        <w:pStyle w:val="Heading1"/>
      </w:pPr>
      <w:bookmarkStart w:name="_Toc142400294" w:id="12"/>
      <w:r w:rsidRPr="00F601D7">
        <w:t>Suspension of study</w:t>
      </w:r>
      <w:bookmarkEnd w:id="12"/>
      <w:r w:rsidRPr="00F601D7">
        <w:t xml:space="preserve"> </w:t>
      </w:r>
    </w:p>
    <w:p w:rsidRPr="00CB4F3E" w:rsidR="00F601D7" w:rsidP="00F601D7" w:rsidRDefault="00F601D7" w14:paraId="0F871E1A" w14:textId="506AFE2C">
      <w:pPr>
        <w:pStyle w:val="numberedmainbody"/>
        <w:rPr>
          <w:b/>
        </w:rPr>
      </w:pPr>
      <w:r w:rsidRPr="00F601D7">
        <w:t>During the prescribed period o</w:t>
      </w:r>
      <w:r w:rsidR="00C10622">
        <w:t>f study as defined in R</w:t>
      </w:r>
      <w:r>
        <w:t>eg</w:t>
      </w:r>
      <w:r w:rsidR="00B938AF">
        <w:t xml:space="preserve"> 3, and subject to Reg </w:t>
      </w:r>
      <w:r w:rsidR="00C72650">
        <w:t>8</w:t>
      </w:r>
      <w:r w:rsidRPr="00F601D7">
        <w:t xml:space="preserve">, a candidate may suspend their studies by making a written application using the approved application form to the Research Degrees Committee for </w:t>
      </w:r>
      <w:r w:rsidR="0015499A">
        <w:t>periods not exceeding 12 months</w:t>
      </w:r>
      <w:r w:rsidRPr="00F601D7">
        <w:t>.</w:t>
      </w:r>
    </w:p>
    <w:p w:rsidR="00E9096A" w:rsidP="00E9096A" w:rsidRDefault="00E9096A" w14:paraId="536D027C" w14:textId="77777777">
      <w:pPr>
        <w:pStyle w:val="numberedmainbody"/>
      </w:pPr>
      <w:bookmarkStart w:name="_Hlk139373284" w:id="13"/>
      <w:r w:rsidRPr="001F10F7">
        <w:t xml:space="preserve">A suspension of study may be permitted for </w:t>
      </w:r>
      <w:bookmarkEnd w:id="13"/>
      <w:r w:rsidRPr="001F10F7">
        <w:t>personal/medical reasons and for other circumstances, for example a candidate wishing to spend a period abroad or in industry, which is not part of the programme of study they are following.</w:t>
      </w:r>
    </w:p>
    <w:p w:rsidRPr="00E9096A" w:rsidR="00CB4F3E" w:rsidP="00E9096A" w:rsidRDefault="00E9096A" w14:paraId="3B68A135" w14:textId="448FC243">
      <w:pPr>
        <w:pStyle w:val="numberedmainbody"/>
      </w:pPr>
      <w:bookmarkStart w:name="_Hlk141789732" w:id="14"/>
      <w:r w:rsidRPr="001F10F7">
        <w:t xml:space="preserve">A suspension of study may be </w:t>
      </w:r>
      <w:r>
        <w:t>required</w:t>
      </w:r>
      <w:r w:rsidRPr="001F10F7">
        <w:t xml:space="preserve"> for</w:t>
      </w:r>
      <w:r>
        <w:t xml:space="preserve"> </w:t>
      </w:r>
      <w:r w:rsidRPr="00902BEE">
        <w:rPr>
          <w:lang w:val="en-GB"/>
        </w:rPr>
        <w:t xml:space="preserve">students who </w:t>
      </w:r>
      <w:r>
        <w:rPr>
          <w:lang w:val="en-GB"/>
        </w:rPr>
        <w:t xml:space="preserve">need </w:t>
      </w:r>
      <w:r w:rsidRPr="00902BEE">
        <w:rPr>
          <w:lang w:val="en-GB"/>
        </w:rPr>
        <w:t>a period of suspension to complete outstanding assessments.</w:t>
      </w:r>
      <w:bookmarkEnd w:id="14"/>
    </w:p>
    <w:p w:rsidR="001F10F7" w:rsidP="00F601D7" w:rsidRDefault="001F10F7" w14:paraId="03A2EEE8" w14:textId="0045C444">
      <w:pPr>
        <w:pStyle w:val="Heading1"/>
      </w:pPr>
      <w:bookmarkStart w:name="_Toc142400295" w:id="15"/>
      <w:r>
        <w:t>Suspension of study on grounds of risk</w:t>
      </w:r>
      <w:bookmarkEnd w:id="15"/>
    </w:p>
    <w:p w:rsidR="001F10F7" w:rsidP="001F10F7" w:rsidRDefault="001F10F7" w14:paraId="45D7B4A2" w14:textId="77777777">
      <w:pPr>
        <w:pStyle w:val="numberedmainbody"/>
      </w:pPr>
      <w:r>
        <w:t>A candidate on any University of Hull module or programme, wheresoever located, who is judged, on substantial evidence, to be unfit to study by reason of posing a risk to themselves or others may be required to suspend those studies even in the absence of the candidate’s consent provided the procedures defined below are followed.</w:t>
      </w:r>
    </w:p>
    <w:p w:rsidR="001F10F7" w:rsidP="001F10F7" w:rsidRDefault="001F10F7" w14:paraId="7F399180" w14:textId="77777777">
      <w:pPr>
        <w:pStyle w:val="numberedmainbody"/>
      </w:pPr>
      <w:r>
        <w:t xml:space="preserve">Where such evidence is deemed to exist, this shall be reported in writing to the Head of Student Support and Experience, and the candidate shall be required to undertake such ‘risk assessment’ as the Head of Student Support and Experience determines appropriate. Refusal to undertake such </w:t>
      </w:r>
      <w:proofErr w:type="gramStart"/>
      <w:r>
        <w:t>assessment</w:t>
      </w:r>
      <w:proofErr w:type="gramEnd"/>
      <w:r>
        <w:t xml:space="preserve"> shall be deemed justification </w:t>
      </w:r>
      <w:proofErr w:type="gramStart"/>
      <w:r>
        <w:t>in itself for</w:t>
      </w:r>
      <w:proofErr w:type="gramEnd"/>
      <w:r>
        <w:t xml:space="preserve"> the candidate being required to suspend their studies.</w:t>
      </w:r>
    </w:p>
    <w:p w:rsidR="001F10F7" w:rsidP="001F10F7" w:rsidRDefault="001F10F7" w14:paraId="5E8FD5DB" w14:textId="77777777">
      <w:pPr>
        <w:pStyle w:val="numberedmainbody"/>
      </w:pPr>
      <w:r>
        <w:t xml:space="preserve">The Head of Student Support and </w:t>
      </w:r>
      <w:proofErr w:type="gramStart"/>
      <w:r>
        <w:t>Experience  shall</w:t>
      </w:r>
      <w:proofErr w:type="gramEnd"/>
      <w:r>
        <w:t xml:space="preserve"> report their findings of the risk assessment, in writing, to the Student Cases Committee (undergraduate and taught postgraduate students) or the Research Degrees Committee (research students), and the relevant Committee shall determine whether, in the light of the assessment, suspension of study shall be required.</w:t>
      </w:r>
    </w:p>
    <w:p w:rsidR="001F10F7" w:rsidP="001F10F7" w:rsidRDefault="001F10F7" w14:paraId="4F0C2439" w14:textId="77777777">
      <w:pPr>
        <w:pStyle w:val="numberedmainbody"/>
      </w:pPr>
      <w:r>
        <w:t xml:space="preserve">A candidate who is required to suspend studies in accordance with this Regulation shall have the right to appeal in accordance with the University’s Code of Practice: Academic Appeals. The said Code shall be modified to the extent that a member of the University’s Health sub-committee shall be invited to submit such advice or evidence as the parties and/or those involved in determining the appeal deem </w:t>
      </w:r>
      <w:proofErr w:type="gramStart"/>
      <w:r>
        <w:t>useful, and</w:t>
      </w:r>
      <w:proofErr w:type="gramEnd"/>
      <w:r>
        <w:t xml:space="preserve"> attend any hearing on the same basis.</w:t>
      </w:r>
    </w:p>
    <w:p w:rsidR="001F10F7" w:rsidP="001F10F7" w:rsidRDefault="001F10F7" w14:paraId="1FD68D9A" w14:textId="77777777">
      <w:pPr>
        <w:pStyle w:val="numberedmainbody"/>
      </w:pPr>
      <w:r>
        <w:t xml:space="preserve">The decision to require suspension of study shall be effective once </w:t>
      </w:r>
      <w:proofErr w:type="gramStart"/>
      <w:r>
        <w:t>made, and</w:t>
      </w:r>
      <w:proofErr w:type="gramEnd"/>
      <w:r>
        <w:t xml:space="preserve"> notified to the candidate in writing by recorded delivery to such addresses as recorded on the University Student Information System at the time, and unless and until any appeal is heard and allowed.</w:t>
      </w:r>
    </w:p>
    <w:p w:rsidR="001F10F7" w:rsidP="001F10F7" w:rsidRDefault="001F10F7" w14:paraId="05032032" w14:textId="77777777">
      <w:pPr>
        <w:pStyle w:val="numberedmainbody"/>
      </w:pPr>
      <w:r>
        <w:lastRenderedPageBreak/>
        <w:t xml:space="preserve">A candidate who is required to suspend studies in accordance with this Regulation shall not be regarded as a student </w:t>
      </w:r>
      <w:proofErr w:type="gramStart"/>
      <w:r>
        <w:t>of</w:t>
      </w:r>
      <w:proofErr w:type="gramEnd"/>
      <w:r>
        <w:t xml:space="preserve"> the University during the period of suspension and shall not be entitled to use University facilities and services or be present on the University campuses.</w:t>
      </w:r>
    </w:p>
    <w:p w:rsidR="001F10F7" w:rsidP="001F10F7" w:rsidRDefault="001F10F7" w14:paraId="63F6CA12" w14:textId="77777777">
      <w:pPr>
        <w:pStyle w:val="numberedmainbody"/>
      </w:pPr>
      <w:r>
        <w:t xml:space="preserve">A candidate who is required to suspend studies in accordance with this Regulation shall not be permitted to resume their studies until they have provided evidence to Student Support and Experience agreed by them to be relevant and appropriate that they are fit to resume their studies. Where a candidate has ongoing support needs these should be documented along with an agreement as to who will be responsible for providing this support. This agreement may be made with Student Support and Experience or with external agencies and seen by Student Support and Experience. This evidence should be submitted to the candidate’s Head of Academic Unit and forwarded for the chair of the Student Cases Committee or Research Degrees Committee. The chair shall determine whether the candidate is permitted to resume their </w:t>
      </w:r>
      <w:proofErr w:type="gramStart"/>
      <w:r>
        <w:t>studies</w:t>
      </w:r>
      <w:proofErr w:type="gramEnd"/>
      <w:r>
        <w:t xml:space="preserve"> taking such advice as they deem necessary in making the decision.</w:t>
      </w:r>
    </w:p>
    <w:p w:rsidR="001F10F7" w:rsidP="001F10F7" w:rsidRDefault="001F10F7" w14:paraId="0DB2FF51" w14:textId="77777777">
      <w:pPr>
        <w:pStyle w:val="numberedmainbody"/>
      </w:pPr>
      <w:r>
        <w:t>Any decision to require suspension of study, the outcome of any appeal, and the decision to allow the candidate to resume their studies shall be communicated to the candidate in writing by recorded delivery within three working days of the decision being made.</w:t>
      </w:r>
    </w:p>
    <w:p w:rsidR="001F10F7" w:rsidP="001F10F7" w:rsidRDefault="001F10F7" w14:paraId="66CE7541" w14:textId="66F1A568">
      <w:pPr>
        <w:pStyle w:val="Heading1"/>
      </w:pPr>
      <w:bookmarkStart w:name="_Toc142400296" w:id="16"/>
      <w:r>
        <w:t xml:space="preserve">Repeating a </w:t>
      </w:r>
      <w:r w:rsidR="00F601D7">
        <w:t>period</w:t>
      </w:r>
      <w:bookmarkEnd w:id="16"/>
    </w:p>
    <w:p w:rsidR="00F601D7" w:rsidP="00F601D7" w:rsidRDefault="00F601D7" w14:paraId="02B51006" w14:textId="35B077D2">
      <w:pPr>
        <w:pStyle w:val="numberedmainbody"/>
      </w:pPr>
      <w:r>
        <w:t xml:space="preserve">A candidate shall not be permitted to </w:t>
      </w:r>
      <w:proofErr w:type="spellStart"/>
      <w:r>
        <w:t>enrol</w:t>
      </w:r>
      <w:proofErr w:type="spellEnd"/>
      <w:r>
        <w:t xml:space="preserve"> for the degree as new other than with the approval of the Research Degrees Committee. Approval shall only be granted where the candidate has demonstrated significant medical or exceptional personal circumstances affecting the period which is sought to be repeated.</w:t>
      </w:r>
    </w:p>
    <w:p w:rsidR="00F601D7" w:rsidP="00F601D7" w:rsidRDefault="00F601D7" w14:paraId="711EE18B" w14:textId="216081A6">
      <w:pPr>
        <w:pStyle w:val="numberedmainbody"/>
        <w:numPr>
          <w:ilvl w:val="0"/>
          <w:numId w:val="0"/>
        </w:numPr>
        <w:ind w:left="680"/>
      </w:pPr>
      <w:r>
        <w:t xml:space="preserve">In determining whether to grant </w:t>
      </w:r>
      <w:proofErr w:type="gramStart"/>
      <w:r>
        <w:t>approval</w:t>
      </w:r>
      <w:proofErr w:type="gramEnd"/>
      <w:r>
        <w:t xml:space="preserve"> rega</w:t>
      </w:r>
      <w:r w:rsidR="00C72650">
        <w:t xml:space="preserve">rd shall be had to Reg 8 </w:t>
      </w:r>
      <w:r>
        <w:t>above.</w:t>
      </w:r>
    </w:p>
    <w:p w:rsidR="00F601D7" w:rsidP="00F601D7" w:rsidRDefault="00F601D7" w14:paraId="1FD5560F" w14:textId="1E7B0942">
      <w:pPr>
        <w:pStyle w:val="Heading1"/>
        <w:numPr>
          <w:ilvl w:val="0"/>
          <w:numId w:val="0"/>
        </w:numPr>
        <w:ind w:left="680"/>
      </w:pPr>
      <w:bookmarkStart w:name="_Toc142400297" w:id="17"/>
      <w:r>
        <w:t>ASSESSMENT</w:t>
      </w:r>
      <w:bookmarkEnd w:id="17"/>
    </w:p>
    <w:p w:rsidR="00F601D7" w:rsidP="00F601D7" w:rsidRDefault="00F601D7" w14:paraId="4920C5A6" w14:textId="104672CA">
      <w:pPr>
        <w:pStyle w:val="Heading1"/>
      </w:pPr>
      <w:bookmarkStart w:name="_Toc142400298" w:id="18"/>
      <w:r>
        <w:t>Method of Examination</w:t>
      </w:r>
      <w:bookmarkEnd w:id="18"/>
    </w:p>
    <w:p w:rsidR="00F601D7" w:rsidP="00F601D7" w:rsidRDefault="00F601D7" w14:paraId="2D6118DC" w14:textId="7CD3E451">
      <w:pPr>
        <w:pStyle w:val="numberedmainbody"/>
      </w:pPr>
      <w:r>
        <w:t>A candidate shall be examined by means of:</w:t>
      </w:r>
    </w:p>
    <w:p w:rsidR="00F601D7" w:rsidP="00C8400B" w:rsidRDefault="00F601D7" w14:paraId="1E72E4A3" w14:textId="77777777">
      <w:pPr>
        <w:pStyle w:val="numberedmainbody"/>
        <w:numPr>
          <w:ilvl w:val="0"/>
          <w:numId w:val="6"/>
        </w:numPr>
        <w:spacing w:before="0" w:after="0"/>
      </w:pPr>
      <w:r>
        <w:t>a thesis,</w:t>
      </w:r>
    </w:p>
    <w:p w:rsidR="00F601D7" w:rsidP="00C8400B" w:rsidRDefault="00F601D7" w14:paraId="4D44BD4C" w14:textId="0678FDEC">
      <w:pPr>
        <w:pStyle w:val="numberedmainbody"/>
        <w:numPr>
          <w:ilvl w:val="0"/>
          <w:numId w:val="6"/>
        </w:numPr>
        <w:spacing w:before="0" w:after="0"/>
      </w:pPr>
      <w:r>
        <w:t xml:space="preserve">an oral examination, </w:t>
      </w:r>
    </w:p>
    <w:p w:rsidR="00F601D7" w:rsidP="00C8400B" w:rsidRDefault="00F601D7" w14:paraId="1011296C" w14:textId="58DA643F">
      <w:pPr>
        <w:pStyle w:val="numberedmainbody"/>
        <w:numPr>
          <w:ilvl w:val="0"/>
          <w:numId w:val="6"/>
        </w:numPr>
        <w:spacing w:before="0" w:after="0"/>
      </w:pPr>
      <w:r>
        <w:t>an assessment of any additional studies prescribed by the candidate’s academic unit and notified in writing at the commencement of the prescribed period of study.</w:t>
      </w:r>
    </w:p>
    <w:p w:rsidR="00F601D7" w:rsidP="00F601D7" w:rsidRDefault="00F601D7" w14:paraId="7D6EBC18" w14:textId="77777777">
      <w:pPr>
        <w:pStyle w:val="numberedmainbody"/>
        <w:numPr>
          <w:ilvl w:val="0"/>
          <w:numId w:val="0"/>
        </w:numPr>
        <w:spacing w:before="0" w:after="0"/>
      </w:pPr>
    </w:p>
    <w:p w:rsidR="00C72650" w:rsidP="00C72650" w:rsidRDefault="00F601D7" w14:paraId="7227E9F4" w14:textId="059FCF28">
      <w:pPr>
        <w:pStyle w:val="numberedmainbody"/>
        <w:spacing w:before="0" w:after="0"/>
      </w:pPr>
      <w:r>
        <w:t xml:space="preserve">The thesis </w:t>
      </w:r>
      <w:r w:rsidR="00C72650">
        <w:t>must:</w:t>
      </w:r>
    </w:p>
    <w:p w:rsidR="00C72650" w:rsidP="00C72650" w:rsidRDefault="00C72650" w14:paraId="5EDAF80A" w14:textId="77777777">
      <w:pPr>
        <w:pStyle w:val="numberedmainbody"/>
        <w:numPr>
          <w:ilvl w:val="0"/>
          <w:numId w:val="0"/>
        </w:numPr>
        <w:spacing w:before="0" w:after="0"/>
        <w:ind w:left="680"/>
      </w:pPr>
    </w:p>
    <w:p w:rsidR="00C72650" w:rsidP="00C72650" w:rsidRDefault="00C72650" w14:paraId="3BEB510E" w14:textId="73C1EE69">
      <w:pPr>
        <w:pStyle w:val="numberedmainbody"/>
        <w:numPr>
          <w:ilvl w:val="0"/>
          <w:numId w:val="16"/>
        </w:numPr>
        <w:spacing w:before="0" w:after="0"/>
      </w:pPr>
      <w:r>
        <w:t>deal with one or more subjects studied in the curriculum for the appropriate for the degree or with subjects in a cognate field,</w:t>
      </w:r>
    </w:p>
    <w:p w:rsidR="00C72650" w:rsidP="00C72650" w:rsidRDefault="00C72650" w14:paraId="5C2583C3" w14:textId="2D683A56">
      <w:pPr>
        <w:pStyle w:val="numberedmainbody"/>
        <w:numPr>
          <w:ilvl w:val="0"/>
          <w:numId w:val="16"/>
        </w:numPr>
        <w:spacing w:before="0" w:after="0"/>
      </w:pPr>
      <w:r>
        <w:t>be specially written for the degree and must not have been submitted in candidature for any other degree, diploma or professional qualification. Material included in the thesis may be published before the thesis is submitted but that fact must be recorded in the thesis,</w:t>
      </w:r>
    </w:p>
    <w:p w:rsidR="00C72650" w:rsidP="00C72650" w:rsidRDefault="00C72650" w14:paraId="00F5A200" w14:textId="72B51AB4">
      <w:pPr>
        <w:pStyle w:val="numberedmainbody"/>
        <w:numPr>
          <w:ilvl w:val="0"/>
          <w:numId w:val="16"/>
        </w:numPr>
        <w:spacing w:before="0" w:after="0"/>
      </w:pPr>
      <w:r>
        <w:t>represent the candidate’s own work, or if carried out in collaboration with other members of a research group, the candidate must indicate clearly their own substantial contribution to the research,</w:t>
      </w:r>
    </w:p>
    <w:p w:rsidR="00C72650" w:rsidP="00C72650" w:rsidRDefault="00C72650" w14:paraId="2BAE3917" w14:textId="4B130B87">
      <w:pPr>
        <w:pStyle w:val="numberedmainbody"/>
        <w:numPr>
          <w:ilvl w:val="0"/>
          <w:numId w:val="16"/>
        </w:numPr>
        <w:spacing w:before="0" w:after="0"/>
      </w:pPr>
      <w:r>
        <w:t xml:space="preserve">be an original work making a significant contribution to knowledge in or understanding of the field of study, containing material worthy of publication, showing a comprehensive knowledge and a critical appreciation of the field of </w:t>
      </w:r>
      <w:r>
        <w:lastRenderedPageBreak/>
        <w:t>study and related literature.</w:t>
      </w:r>
    </w:p>
    <w:p w:rsidR="00F601D7" w:rsidP="0015499A" w:rsidRDefault="00C72650" w14:paraId="1AA30726" w14:textId="622C8960">
      <w:pPr>
        <w:pStyle w:val="numberedmainbody"/>
      </w:pPr>
      <w:r>
        <w:t>The thesis may not exceed 5</w:t>
      </w:r>
      <w:r w:rsidRPr="0015499A" w:rsidR="0015499A">
        <w:t xml:space="preserve">0,000 words, </w:t>
      </w:r>
      <w:proofErr w:type="gramStart"/>
      <w:r w:rsidRPr="0015499A" w:rsidR="0015499A">
        <w:t>excluding</w:t>
      </w:r>
      <w:proofErr w:type="gramEnd"/>
      <w:r w:rsidRPr="0015499A" w:rsidR="0015499A">
        <w:t xml:space="preserve"> the Bibliography, but including footnotes and appendices, except with the express permission of the Research Degrees Committee. Applications to exceed the word limit shall be subject to the recommendation of the candidate’s supervisor, the relevant external examiner and the relevant Graduate Research Director. Application shall be made </w:t>
      </w:r>
      <w:r w:rsidR="00CE165A">
        <w:t>in advance of submission of the thesis.</w:t>
      </w:r>
    </w:p>
    <w:p w:rsidR="00012168" w:rsidP="00012168" w:rsidRDefault="00012168" w14:paraId="7170E9B2" w14:textId="4A5D129D">
      <w:pPr>
        <w:pStyle w:val="Heading1"/>
      </w:pPr>
      <w:bookmarkStart w:name="_Toc142400299" w:id="19"/>
      <w:r>
        <w:t>Standards and Criter</w:t>
      </w:r>
      <w:r w:rsidR="00E974E4">
        <w:t xml:space="preserve">ia for </w:t>
      </w:r>
      <w:r w:rsidR="00B938AF">
        <w:t>the award</w:t>
      </w:r>
      <w:bookmarkEnd w:id="19"/>
    </w:p>
    <w:p w:rsidR="00012168" w:rsidP="00012168" w:rsidRDefault="00012168" w14:paraId="247D9DE0" w14:textId="77777777">
      <w:pPr>
        <w:pStyle w:val="numberedmainbody"/>
      </w:pPr>
      <w:r>
        <w:t>The thesis must be the result of original research, show an awareness of the relationship of the research to a wider field of knowledge and reflect such further Standards and Criteria as approved by the Research Degrees Criteria from time to time.</w:t>
      </w:r>
    </w:p>
    <w:p w:rsidR="00012168" w:rsidP="00012168" w:rsidRDefault="00012168" w14:paraId="0F5CEED1" w14:textId="2295C556">
      <w:pPr>
        <w:pStyle w:val="numberedmainbody"/>
      </w:pPr>
      <w:r>
        <w:t xml:space="preserve">A candidate may not submit as a thesis, the work for which credits or a qualification of this University or any other institution have been </w:t>
      </w:r>
      <w:proofErr w:type="gramStart"/>
      <w:r>
        <w:t>conferred, but</w:t>
      </w:r>
      <w:proofErr w:type="gramEnd"/>
      <w:r>
        <w:t xml:space="preserve"> shall not be precluded from incorporating such work in a submission which covers a wider, or substantially different field from that of earlier work, provided that the same is indicated clearly in the current submission.</w:t>
      </w:r>
    </w:p>
    <w:p w:rsidR="00012168" w:rsidP="00012168" w:rsidRDefault="00012168" w14:paraId="66C03F18" w14:textId="3317D263">
      <w:pPr>
        <w:pStyle w:val="Heading1"/>
      </w:pPr>
      <w:bookmarkStart w:name="_Toc142400300" w:id="20"/>
      <w:r>
        <w:t>Submission of the thesis</w:t>
      </w:r>
      <w:bookmarkEnd w:id="20"/>
    </w:p>
    <w:p w:rsidR="00012168" w:rsidP="00012168" w:rsidRDefault="00012168" w14:paraId="3782B9EC" w14:textId="0514D332">
      <w:pPr>
        <w:pStyle w:val="numberedmainbody"/>
      </w:pPr>
      <w:r>
        <w:t>A candidate shall give not less than three months’ notice of the expected date of submission of the thesis, and shall, at the same time, confirm the precise title of the thesis along with an abbreviated title which shall not exceed six words.</w:t>
      </w:r>
    </w:p>
    <w:p w:rsidR="00012168" w:rsidP="0015499A" w:rsidRDefault="00012168" w14:paraId="58CAE88D" w14:textId="5CF7E5FC">
      <w:pPr>
        <w:pStyle w:val="numberedmainbody"/>
      </w:pPr>
      <w:r>
        <w:t xml:space="preserve">The </w:t>
      </w:r>
      <w:r w:rsidRPr="0015499A" w:rsidR="0015499A">
        <w:t>candidate shall be responsible for ensuring that two copies (three copies where the candidate is a member of staff) of the thesis are received</w:t>
      </w:r>
      <w:r w:rsidR="00CE165A">
        <w:t xml:space="preserve"> by The Doctoral College office.</w:t>
      </w:r>
    </w:p>
    <w:p w:rsidR="00012168" w:rsidP="00012168" w:rsidRDefault="00012168" w14:paraId="6D2B63A5" w14:textId="11AC0A3C">
      <w:pPr>
        <w:pStyle w:val="numberedmainbody"/>
      </w:pPr>
      <w:r>
        <w:t xml:space="preserve">Submission shall be in such format as prescribed, from time to time, by the Research Degrees Committee. </w:t>
      </w:r>
    </w:p>
    <w:p w:rsidR="00012168" w:rsidP="00012168" w:rsidRDefault="00012168" w14:paraId="337A849A" w14:textId="7F820857">
      <w:pPr>
        <w:pStyle w:val="numberedmainbody"/>
      </w:pPr>
      <w:r>
        <w:t>A candidate shall be barred from submitting the thesis unless the conditio</w:t>
      </w:r>
      <w:r w:rsidR="00CE165A">
        <w:t>ns of Reg 7</w:t>
      </w:r>
      <w:r>
        <w:t xml:space="preserve"> above have been satisfied.</w:t>
      </w:r>
    </w:p>
    <w:p w:rsidR="00012168" w:rsidP="00012168" w:rsidRDefault="00012168" w14:paraId="1B6EA455" w14:textId="33FA326D">
      <w:pPr>
        <w:pStyle w:val="numberedmainbody"/>
      </w:pPr>
      <w:r>
        <w:t>In addition to the thesis, the candidate shall submit two copies</w:t>
      </w:r>
      <w:r w:rsidR="00CE165A">
        <w:t xml:space="preserve"> </w:t>
      </w:r>
      <w:r>
        <w:t>of a summary of the thesis, which shall not exceed 300 words, and shall be in such format as prescribed, which is subject to change from time to time, by the Research Degrees Committee.</w:t>
      </w:r>
    </w:p>
    <w:p w:rsidR="00CE165A" w:rsidP="00CE165A" w:rsidRDefault="00CE165A" w14:paraId="206D60DB" w14:textId="4668E177">
      <w:pPr>
        <w:pStyle w:val="numberedmainbody"/>
      </w:pPr>
      <w:r w:rsidRPr="00CE165A">
        <w:t>Following an award of</w:t>
      </w:r>
      <w:r w:rsidR="00B938AF">
        <w:t xml:space="preserve"> the degree in accordance with Reg </w:t>
      </w:r>
      <w:r w:rsidRPr="00CE165A">
        <w:t>18 below, the candidate shall submit an electronic copy of the thesis which shall be retained by, and be the property of, the University</w:t>
      </w:r>
      <w:r>
        <w:t>.</w:t>
      </w:r>
    </w:p>
    <w:p w:rsidR="00012168" w:rsidP="00012168" w:rsidRDefault="0015499A" w14:paraId="29737D02" w14:textId="473E42C6">
      <w:pPr>
        <w:pStyle w:val="Heading1"/>
      </w:pPr>
      <w:bookmarkStart w:name="_Toc142400301" w:id="21"/>
      <w:r>
        <w:t>Thesis e</w:t>
      </w:r>
      <w:r w:rsidR="00012168">
        <w:t>xtensions</w:t>
      </w:r>
      <w:bookmarkEnd w:id="21"/>
      <w:r w:rsidR="00012168">
        <w:t xml:space="preserve"> </w:t>
      </w:r>
    </w:p>
    <w:p w:rsidR="00012168" w:rsidP="00CE165A" w:rsidRDefault="00CE165A" w14:paraId="7F12DD77" w14:textId="10C2A20B">
      <w:pPr>
        <w:pStyle w:val="numberedmainbody"/>
      </w:pPr>
      <w:r w:rsidRPr="00CE165A">
        <w:t xml:space="preserve">Candidates may apply, using the approved application form available </w:t>
      </w:r>
      <w:r w:rsidRPr="00CE165A" w:rsidR="00E9096A">
        <w:t xml:space="preserve">from </w:t>
      </w:r>
      <w:proofErr w:type="gramStart"/>
      <w:r w:rsidR="00E9096A">
        <w:t xml:space="preserve">the </w:t>
      </w:r>
      <w:r w:rsidRPr="00CE165A" w:rsidR="00E9096A">
        <w:t>Doctoral</w:t>
      </w:r>
      <w:proofErr w:type="gramEnd"/>
      <w:r w:rsidRPr="00CE165A" w:rsidR="00E9096A">
        <w:t xml:space="preserve"> College</w:t>
      </w:r>
      <w:r w:rsidRPr="00CE165A">
        <w:t xml:space="preserve"> to the Research Degrees Committee, for an extension of up to one year</w:t>
      </w:r>
      <w:r>
        <w:t>.</w:t>
      </w:r>
    </w:p>
    <w:tbl>
      <w:tblPr>
        <w:tblStyle w:val="TableGrid"/>
        <w:tblW w:w="0" w:type="auto"/>
        <w:tblInd w:w="680" w:type="dxa"/>
        <w:tblLook w:val="04A0" w:firstRow="1" w:lastRow="0" w:firstColumn="1" w:lastColumn="0" w:noHBand="0" w:noVBand="1"/>
      </w:tblPr>
      <w:tblGrid>
        <w:gridCol w:w="8336"/>
      </w:tblGrid>
      <w:tr w:rsidR="00E9096A" w:rsidTr="00E9096A" w14:paraId="1925A85E" w14:textId="77777777">
        <w:tc>
          <w:tcPr>
            <w:tcW w:w="9016" w:type="dxa"/>
          </w:tcPr>
          <w:sdt>
            <w:sdtPr>
              <w:id w:val="568603642"/>
              <w:temporary/>
              <w15:appearance w15:val="hidden"/>
            </w:sdtPr>
            <w:sdtEndPr>
              <w:rPr>
                <w:i/>
                <w:sz w:val="18"/>
                <w:szCs w:val="18"/>
              </w:rPr>
            </w:sdtEndPr>
            <w:sdtContent>
              <w:p w:rsidRPr="00E9096A" w:rsidR="00E9096A" w:rsidP="00E9096A" w:rsidRDefault="00E9096A" w14:paraId="29EA35FB" w14:textId="0321BBD3">
                <w:pPr>
                  <w:rPr>
                    <w:i/>
                    <w:sz w:val="18"/>
                    <w:szCs w:val="18"/>
                  </w:rPr>
                </w:pPr>
                <w:r w:rsidRPr="00012168">
                  <w:rPr>
                    <w:i/>
                    <w:sz w:val="18"/>
                    <w:szCs w:val="18"/>
                  </w:rPr>
                  <w:t xml:space="preserve">Tier 4 students 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t>
                </w:r>
                <w:proofErr w:type="gramStart"/>
                <w:r w:rsidRPr="00012168">
                  <w:rPr>
                    <w:i/>
                    <w:sz w:val="18"/>
                    <w:szCs w:val="18"/>
                  </w:rPr>
                  <w:t>whether or not</w:t>
                </w:r>
                <w:proofErr w:type="gramEnd"/>
                <w:r w:rsidRPr="00012168">
                  <w:rPr>
                    <w:i/>
                    <w:sz w:val="18"/>
                    <w:szCs w:val="18"/>
                  </w:rPr>
                  <w:t xml:space="preserve"> the University will be able to support a further visa application needs to be sought by the Doctoral College, from the Visa Compliance Team, in advance of the case for granting the extension being heard.</w:t>
                </w:r>
              </w:p>
            </w:sdtContent>
          </w:sdt>
        </w:tc>
      </w:tr>
    </w:tbl>
    <w:p w:rsidRPr="0015499A" w:rsidR="00E9096A" w:rsidP="00E9096A" w:rsidRDefault="00E9096A" w14:paraId="7A6661A9" w14:textId="77777777">
      <w:pPr>
        <w:pStyle w:val="numberedmainbody"/>
        <w:numPr>
          <w:ilvl w:val="0"/>
          <w:numId w:val="0"/>
        </w:numPr>
        <w:spacing w:before="0" w:after="0"/>
      </w:pPr>
    </w:p>
    <w:p w:rsidR="00012168" w:rsidP="00E9096A" w:rsidRDefault="00E9096A" w14:paraId="4F3069CD" w14:textId="276A3A84">
      <w:pPr>
        <w:pStyle w:val="Heading1"/>
        <w:spacing w:before="0" w:after="0"/>
      </w:pPr>
      <w:bookmarkStart w:name="_Toc142400302" w:id="22"/>
      <w:r>
        <w:t>Non-Submission</w:t>
      </w:r>
      <w:bookmarkEnd w:id="22"/>
      <w:r w:rsidR="00012168">
        <w:t xml:space="preserve"> </w:t>
      </w:r>
    </w:p>
    <w:p w:rsidRPr="00012168" w:rsidR="00012168" w:rsidP="00CE165A" w:rsidRDefault="00CE165A" w14:paraId="70E5487B" w14:textId="086F47E9">
      <w:pPr>
        <w:pStyle w:val="numberedmainbody"/>
      </w:pPr>
      <w:r w:rsidRPr="00CE165A">
        <w:t xml:space="preserve">Where a candidate fails to submit the thesis by the deadline stated in Regulation 3 or any extended deadline arising from an extension granted in accordance with Regulation 15, the </w:t>
      </w:r>
      <w:r w:rsidRPr="00CE165A">
        <w:lastRenderedPageBreak/>
        <w:t>Examiners shall determine whether to allow the candidate a resubmission. Where such resubmission is not allowed the programme of study shall be deemed terminated without the requirement for examination of the thesis.</w:t>
      </w:r>
    </w:p>
    <w:p w:rsidR="000C0EA7" w:rsidP="000C0EA7" w:rsidRDefault="000C0EA7" w14:paraId="7135CDDE" w14:textId="61B616C4">
      <w:pPr>
        <w:pStyle w:val="Heading1"/>
      </w:pPr>
      <w:bookmarkStart w:name="_Toc142400303" w:id="23"/>
      <w:r>
        <w:t>Appointment of Examiners</w:t>
      </w:r>
      <w:bookmarkEnd w:id="23"/>
    </w:p>
    <w:p w:rsidR="000C0EA7" w:rsidP="000C0EA7" w:rsidRDefault="000C0EA7" w14:paraId="6F600AA3" w14:textId="6397A131">
      <w:pPr>
        <w:pStyle w:val="numberedmainbody"/>
      </w:pPr>
      <w:r>
        <w:t xml:space="preserve">The examination shall be conducted by one external examiner and one internal examiner, both appointed by the Research Degrees Committee on the recommendation of the Head of the relevant Academic Unit. </w:t>
      </w:r>
    </w:p>
    <w:p w:rsidR="000C0EA7" w:rsidP="00355328" w:rsidRDefault="000C0EA7" w14:paraId="7C0BA799" w14:textId="6CEC1608">
      <w:pPr>
        <w:pStyle w:val="numberedmainbody"/>
      </w:pPr>
      <w:r>
        <w:t xml:space="preserve"> Where </w:t>
      </w:r>
      <w:r w:rsidRPr="00355328" w:rsidR="00355328">
        <w:t>the candidate is a member of s</w:t>
      </w:r>
      <w:r w:rsidR="00CE165A">
        <w:t xml:space="preserve">taff, other than </w:t>
      </w:r>
      <w:proofErr w:type="gramStart"/>
      <w:r w:rsidR="00CE165A">
        <w:t>research</w:t>
      </w:r>
      <w:proofErr w:type="gramEnd"/>
      <w:r w:rsidR="00CE165A">
        <w:t xml:space="preserve"> staff, of the University </w:t>
      </w:r>
      <w:r w:rsidRPr="00355328" w:rsidR="00355328">
        <w:t>a second external examiner shal</w:t>
      </w:r>
      <w:r w:rsidR="00CE165A">
        <w:t>l</w:t>
      </w:r>
      <w:r w:rsidRPr="00355328" w:rsidR="00355328">
        <w:t xml:space="preserve"> be appointed.</w:t>
      </w:r>
    </w:p>
    <w:p w:rsidR="000C0EA7" w:rsidP="000C0EA7" w:rsidRDefault="000C0EA7" w14:paraId="435DD036" w14:textId="0AEFE850">
      <w:pPr>
        <w:pStyle w:val="numberedmainbody"/>
      </w:pPr>
      <w:r>
        <w:t>The internal examiner shall not be the candidate’s supervisors, other than where approval has been granted by the Research Degrees Committee following a written application by the relevant Head of Academic Unit. RDC shall grant approval only where it determines that exceptional circumstances have been established, and subject to the condition that a second external examiner be appointed.</w:t>
      </w:r>
    </w:p>
    <w:p w:rsidR="000C0EA7" w:rsidP="000C0EA7" w:rsidRDefault="000C0EA7" w14:paraId="23CFB461" w14:textId="77777777">
      <w:pPr>
        <w:pStyle w:val="numberedmainbody"/>
      </w:pPr>
      <w:r>
        <w:t>The examination shall be chaired by a member of academic staff appointed by the Research Degrees Committee in accordance with the University code of practice governing the chairing of research degree by thesis viva voce examinations.</w:t>
      </w:r>
    </w:p>
    <w:p w:rsidR="000C0EA7" w:rsidP="000C0EA7" w:rsidRDefault="000C0EA7" w14:paraId="44D4125D" w14:textId="41E13724">
      <w:pPr>
        <w:pStyle w:val="numberedmainbody"/>
      </w:pPr>
      <w:r>
        <w:t>The supervis</w:t>
      </w:r>
      <w:r w:rsidR="00CE165A">
        <w:t xml:space="preserve">ors shall be entitled to attend, but not participate in </w:t>
      </w:r>
      <w:proofErr w:type="gramStart"/>
      <w:r>
        <w:t xml:space="preserve">the examination </w:t>
      </w:r>
      <w:r w:rsidR="00CE165A">
        <w:t>of, the</w:t>
      </w:r>
      <w:proofErr w:type="gramEnd"/>
      <w:r w:rsidR="00CE165A">
        <w:t xml:space="preserve"> oral examination </w:t>
      </w:r>
      <w:r>
        <w:t>with the agreement of the examiners and the candidate</w:t>
      </w:r>
      <w:r w:rsidR="00E9096A">
        <w:t>.</w:t>
      </w:r>
    </w:p>
    <w:tbl>
      <w:tblPr>
        <w:tblStyle w:val="TableGrid"/>
        <w:tblW w:w="0" w:type="auto"/>
        <w:tblInd w:w="680" w:type="dxa"/>
        <w:tblLook w:val="04A0" w:firstRow="1" w:lastRow="0" w:firstColumn="1" w:lastColumn="0" w:noHBand="0" w:noVBand="1"/>
      </w:tblPr>
      <w:tblGrid>
        <w:gridCol w:w="8336"/>
      </w:tblGrid>
      <w:tr w:rsidR="00E9096A" w:rsidTr="00E9096A" w14:paraId="68B4C02D" w14:textId="77777777">
        <w:tc>
          <w:tcPr>
            <w:tcW w:w="9016" w:type="dxa"/>
          </w:tcPr>
          <w:p w:rsidRPr="00E9096A" w:rsidR="00E9096A" w:rsidP="00E9096A" w:rsidRDefault="00E9096A" w14:paraId="5CE56DDE" w14:textId="5FAF4116">
            <w:pPr>
              <w:rPr>
                <w:i/>
                <w:sz w:val="18"/>
                <w:szCs w:val="18"/>
              </w:rPr>
            </w:pPr>
            <w:r w:rsidRPr="0031671A">
              <w:rPr>
                <w:i/>
                <w:sz w:val="18"/>
                <w:szCs w:val="18"/>
              </w:rPr>
              <w:t xml:space="preserve">University Code of Practice Chairing Research Degree by Thesis Viva Voce Examinations requires that all </w:t>
            </w:r>
            <w:proofErr w:type="spellStart"/>
            <w:r w:rsidRPr="0031671A">
              <w:rPr>
                <w:i/>
                <w:sz w:val="18"/>
                <w:szCs w:val="18"/>
              </w:rPr>
              <w:t>vivas</w:t>
            </w:r>
            <w:proofErr w:type="spellEnd"/>
            <w:r w:rsidRPr="0031671A">
              <w:rPr>
                <w:i/>
                <w:sz w:val="18"/>
                <w:szCs w:val="18"/>
              </w:rPr>
              <w:t xml:space="preserve"> be independently chaired</w:t>
            </w:r>
            <w:r>
              <w:rPr>
                <w:i/>
                <w:sz w:val="18"/>
                <w:szCs w:val="18"/>
              </w:rPr>
              <w:t>.</w:t>
            </w:r>
          </w:p>
        </w:tc>
      </w:tr>
    </w:tbl>
    <w:p w:rsidR="00E9096A" w:rsidP="00E9096A" w:rsidRDefault="00E9096A" w14:paraId="27D23DEF" w14:textId="77777777">
      <w:pPr>
        <w:pStyle w:val="numberedmainbody"/>
        <w:numPr>
          <w:ilvl w:val="0"/>
          <w:numId w:val="0"/>
        </w:numPr>
        <w:spacing w:before="0" w:after="0"/>
      </w:pPr>
    </w:p>
    <w:p w:rsidR="000C0EA7" w:rsidP="00E9096A" w:rsidRDefault="000B6E03" w14:paraId="371F4A39" w14:textId="7A61202A">
      <w:pPr>
        <w:pStyle w:val="Heading1"/>
        <w:spacing w:before="0" w:after="0"/>
      </w:pPr>
      <w:bookmarkStart w:name="_Toc142400304" w:id="24"/>
      <w:r>
        <w:t>Examiners’ Recommendations</w:t>
      </w:r>
      <w:bookmarkEnd w:id="24"/>
      <w:r>
        <w:t xml:space="preserve"> </w:t>
      </w:r>
    </w:p>
    <w:p w:rsidR="000B6E03" w:rsidP="000B6E03" w:rsidRDefault="000B6E03" w14:paraId="5373D9F3" w14:textId="07227C58">
      <w:pPr>
        <w:pStyle w:val="numberedmainbody"/>
      </w:pPr>
      <w:r w:rsidRPr="000B6E03">
        <w:t>The examiners must make one of the following recommendations:</w:t>
      </w:r>
    </w:p>
    <w:p w:rsidR="00E974E4" w:rsidP="00E974E4" w:rsidRDefault="00E974E4" w14:paraId="5108E64D" w14:textId="7B92ACF4">
      <w:pPr>
        <w:pStyle w:val="numberedmainbody"/>
        <w:numPr>
          <w:ilvl w:val="0"/>
          <w:numId w:val="9"/>
        </w:numPr>
        <w:spacing w:before="0" w:after="0"/>
      </w:pPr>
      <w:r>
        <w:t>That the candidate be awarded the degree of:</w:t>
      </w:r>
    </w:p>
    <w:p w:rsidR="00E974E4" w:rsidP="00E974E4" w:rsidRDefault="00CE165A" w14:paraId="339590EB" w14:textId="77777777">
      <w:pPr>
        <w:pStyle w:val="numberedmainbody"/>
        <w:numPr>
          <w:ilvl w:val="0"/>
          <w:numId w:val="17"/>
        </w:numPr>
        <w:spacing w:before="0" w:after="0"/>
      </w:pPr>
      <w:r>
        <w:t>Doctor of Psychology,</w:t>
      </w:r>
    </w:p>
    <w:p w:rsidR="00E974E4" w:rsidP="00E974E4" w:rsidRDefault="00CE165A" w14:paraId="351B76B1" w14:textId="77777777">
      <w:pPr>
        <w:pStyle w:val="numberedmainbody"/>
        <w:numPr>
          <w:ilvl w:val="0"/>
          <w:numId w:val="17"/>
        </w:numPr>
        <w:spacing w:before="0" w:after="0"/>
      </w:pPr>
      <w:r>
        <w:t>Doctor of Psychology</w:t>
      </w:r>
      <w:r w:rsidRPr="00355328" w:rsidR="00355328">
        <w:t xml:space="preserve"> subject to corrections being made to the thesis to the satisfaction of the internal examiner within three months of the date of being informed of the decision of the examiners. The term corrections </w:t>
      </w:r>
      <w:proofErr w:type="gramStart"/>
      <w:r w:rsidRPr="00355328" w:rsidR="00355328">
        <w:t>refers</w:t>
      </w:r>
      <w:proofErr w:type="gramEnd"/>
      <w:r w:rsidRPr="00355328" w:rsidR="00355328">
        <w:t xml:space="preserve"> to typographical errors, occasional stylistic or grammatical flaws, corrections to references etc.</w:t>
      </w:r>
    </w:p>
    <w:p w:rsidR="000B6E03" w:rsidP="00E974E4" w:rsidRDefault="00CE165A" w14:paraId="66F99670" w14:textId="660FB4ED">
      <w:pPr>
        <w:pStyle w:val="numberedmainbody"/>
        <w:numPr>
          <w:ilvl w:val="0"/>
          <w:numId w:val="17"/>
        </w:numPr>
        <w:spacing w:before="0" w:after="0"/>
      </w:pPr>
      <w:r>
        <w:t>Doctor of Psychology</w:t>
      </w:r>
      <w:r w:rsidRPr="00355328" w:rsidR="00355328">
        <w:t xml:space="preserve"> subject to amendments. The term amendments </w:t>
      </w:r>
      <w:proofErr w:type="gramStart"/>
      <w:r w:rsidRPr="00355328" w:rsidR="00355328">
        <w:t>refers</w:t>
      </w:r>
      <w:proofErr w:type="gramEnd"/>
      <w:r w:rsidRPr="00355328" w:rsidR="00355328">
        <w:t xml:space="preserve"> to certain changes of substance in a specific element or elements of the thesis specified by the examiners. These shall not involve a revision of the whole thesis or of a major proportion of it. The changes must be made to the thesis to the satisfaction of the internal examiner within six months of the date of being informed of the decision of the examiners.</w:t>
      </w:r>
    </w:p>
    <w:p w:rsidRPr="00E974E4" w:rsidR="00E974E4" w:rsidP="00E974E4" w:rsidRDefault="00E974E4" w14:paraId="6E485573" w14:textId="77777777">
      <w:pPr>
        <w:pStyle w:val="numberedmainbody"/>
        <w:numPr>
          <w:ilvl w:val="0"/>
          <w:numId w:val="9"/>
        </w:numPr>
        <w:spacing w:before="0" w:after="0"/>
        <w:rPr>
          <w:b/>
        </w:rPr>
      </w:pPr>
      <w:r w:rsidRPr="00E974E4">
        <w:t xml:space="preserve">that, if in the opinion of the examiners, the thesis is not of sufficient merit to justify the award of the degree, the candidate may be given the opportunity to submit on one further occasion </w:t>
      </w:r>
      <w:proofErr w:type="gramStart"/>
      <w:r w:rsidRPr="00E974E4">
        <w:t>provided that</w:t>
      </w:r>
      <w:proofErr w:type="gramEnd"/>
      <w:r w:rsidRPr="00E974E4">
        <w:t xml:space="preserve"> effect is given to any recommendation that the examiners and the Research Degrees Committee may make. </w:t>
      </w:r>
    </w:p>
    <w:p w:rsidRPr="00E974E4" w:rsidR="000B6E03" w:rsidP="00E974E4" w:rsidRDefault="00E974E4" w14:paraId="719CF51B" w14:textId="59835142">
      <w:pPr>
        <w:pStyle w:val="numberedmainbody"/>
        <w:numPr>
          <w:ilvl w:val="0"/>
          <w:numId w:val="9"/>
        </w:numPr>
        <w:spacing w:before="0" w:after="0"/>
        <w:rPr>
          <w:b/>
        </w:rPr>
      </w:pPr>
      <w:r w:rsidRPr="00E974E4">
        <w:t xml:space="preserve">that the candidate </w:t>
      </w:r>
      <w:proofErr w:type="gramStart"/>
      <w:r w:rsidRPr="00E974E4">
        <w:t>be failed</w:t>
      </w:r>
      <w:proofErr w:type="gramEnd"/>
      <w:r w:rsidRPr="00E974E4">
        <w:t>.</w:t>
      </w:r>
    </w:p>
    <w:p w:rsidRPr="00E974E4" w:rsidR="00E974E4" w:rsidP="00E974E4" w:rsidRDefault="00E974E4" w14:paraId="1DD12520" w14:textId="4319DEA5">
      <w:pPr>
        <w:pStyle w:val="numberedmainbody"/>
        <w:numPr>
          <w:ilvl w:val="0"/>
          <w:numId w:val="9"/>
        </w:numPr>
        <w:spacing w:before="0" w:after="0"/>
      </w:pPr>
      <w:proofErr w:type="gramStart"/>
      <w:r w:rsidRPr="00E974E4">
        <w:t>a candidate</w:t>
      </w:r>
      <w:proofErr w:type="gramEnd"/>
      <w:r w:rsidRPr="00E974E4">
        <w:t xml:space="preserve"> whose thesis is not of the required </w:t>
      </w:r>
      <w:proofErr w:type="gramStart"/>
      <w:r w:rsidRPr="00E974E4">
        <w:t>standard at</w:t>
      </w:r>
      <w:proofErr w:type="gramEnd"/>
      <w:r w:rsidRPr="00E974E4">
        <w:t xml:space="preserve"> either at first or second attempt shall be entitled to receive a written statement from the examiners of the way in which the work falls short of the requirements to pass.</w:t>
      </w:r>
    </w:p>
    <w:p w:rsidR="00C8400B" w:rsidP="00E974E4" w:rsidRDefault="00C8400B" w14:paraId="0E25F281" w14:textId="5340980F">
      <w:pPr>
        <w:pStyle w:val="Heading1"/>
      </w:pPr>
      <w:bookmarkStart w:name="_Toc142400305" w:id="25"/>
      <w:r>
        <w:lastRenderedPageBreak/>
        <w:t>Resubmission of the thesis</w:t>
      </w:r>
      <w:bookmarkEnd w:id="25"/>
    </w:p>
    <w:p w:rsidR="00E974E4" w:rsidP="00E974E4" w:rsidRDefault="00C8400B" w14:paraId="1FA20140" w14:textId="6CA50E81">
      <w:pPr>
        <w:pStyle w:val="numberedmainbody"/>
      </w:pPr>
      <w:r>
        <w:t xml:space="preserve">Where a candidate is permitted to submit on one further </w:t>
      </w:r>
      <w:r w:rsidR="00E974E4">
        <w:t>occasion in accordance with 18.1</w:t>
      </w:r>
      <w:r w:rsidR="00B938AF">
        <w:t>(a.iii)</w:t>
      </w:r>
      <w:r w:rsidR="00E974E4">
        <w:t>, t</w:t>
      </w:r>
      <w:r>
        <w:t>he manner of resubmission shall be as require</w:t>
      </w:r>
      <w:r w:rsidR="002064B6">
        <w:t>d for first submission by Reg 14</w:t>
      </w:r>
      <w:r>
        <w:t xml:space="preserve"> save that resubmission shall be subject to the payment of such resubmission fee as prescribed by Senate and Council and in force at the time.</w:t>
      </w:r>
    </w:p>
    <w:p w:rsidR="00C8400B" w:rsidP="00E974E4" w:rsidRDefault="00C8400B" w14:paraId="161917EF" w14:textId="33A0B270">
      <w:pPr>
        <w:pStyle w:val="numberedmainbody"/>
      </w:pPr>
      <w:r>
        <w:t xml:space="preserve">Where a candidate fails to submit the thesis by the deadline specified in </w:t>
      </w:r>
      <w:r w:rsidR="00E974E4">
        <w:t>19</w:t>
      </w:r>
      <w:r w:rsidR="00355328">
        <w:t>.1</w:t>
      </w:r>
      <w:r>
        <w:t xml:space="preserve"> the programme of study shall be deemed terminated without the requirement for examination of the thesis.</w:t>
      </w:r>
    </w:p>
    <w:p w:rsidR="00C8400B" w:rsidP="00E974E4" w:rsidRDefault="00C8400B" w14:paraId="66D52B3D" w14:textId="37D3539C">
      <w:pPr>
        <w:pStyle w:val="Heading1"/>
        <w:numPr>
          <w:ilvl w:val="0"/>
          <w:numId w:val="0"/>
        </w:numPr>
        <w:ind w:left="680"/>
      </w:pPr>
      <w:bookmarkStart w:name="_Toc142400306" w:id="26"/>
      <w:r>
        <w:t>ACADEMIC/PROFESSIONAL DISCIPLINE</w:t>
      </w:r>
      <w:bookmarkEnd w:id="26"/>
    </w:p>
    <w:p w:rsidR="00C8400B" w:rsidP="00E974E4" w:rsidRDefault="00C8400B" w14:paraId="413B4FC1" w14:textId="22EF6481">
      <w:pPr>
        <w:pStyle w:val="Heading1"/>
      </w:pPr>
      <w:bookmarkStart w:name="_Toc142400307" w:id="27"/>
      <w:r>
        <w:t>Academic Misconduct</w:t>
      </w:r>
      <w:bookmarkEnd w:id="27"/>
    </w:p>
    <w:p w:rsidR="00E974E4" w:rsidP="00E974E4" w:rsidRDefault="00BA29B8" w14:paraId="786A6361" w14:textId="35E69955">
      <w:pPr>
        <w:pStyle w:val="numberedmainbody"/>
      </w:pPr>
      <w:r>
        <w:t>Allegations of academic misconduct</w:t>
      </w:r>
      <w:r w:rsidR="00C8400B">
        <w:t xml:space="preserve"> shall be subject to the Regulations </w:t>
      </w:r>
      <w:r w:rsidR="00E9096A">
        <w:t>governing</w:t>
      </w:r>
      <w:r w:rsidR="00C8400B">
        <w:t xml:space="preserve"> Academic Misconduct, and no penalty shall be imposed other than in accordance with the said Regulations.</w:t>
      </w:r>
    </w:p>
    <w:p w:rsidR="00C8400B" w:rsidP="00E974E4" w:rsidRDefault="00C8400B" w14:paraId="33A7257A" w14:textId="7ACF2925">
      <w:pPr>
        <w:pStyle w:val="numberedmainbody"/>
      </w:pPr>
      <w:r>
        <w:t>Candidates shall also abide by the principles of good research practice as defined in the Code of Practice on Research Misconduct. Allegations of research misconduct shall be investigated in accordance with the said code.</w:t>
      </w:r>
    </w:p>
    <w:p w:rsidR="00C8400B" w:rsidP="00E974E4" w:rsidRDefault="00C8400B" w14:paraId="23CCE53F" w14:textId="7EEE13D2">
      <w:pPr>
        <w:pStyle w:val="Heading1"/>
      </w:pPr>
      <w:bookmarkStart w:name="_Toc142400308" w:id="28"/>
      <w:r>
        <w:t>Professional Standards of Conduct (Fitness to Practise)</w:t>
      </w:r>
      <w:bookmarkEnd w:id="28"/>
    </w:p>
    <w:p w:rsidR="00C8400B" w:rsidP="00E974E4" w:rsidRDefault="00C8400B" w14:paraId="3A7A7CDB" w14:textId="60D21218">
      <w:pPr>
        <w:pStyle w:val="numberedmainbody"/>
      </w:pPr>
      <w:r w:rsidRPr="00C8400B">
        <w:t xml:space="preserve">For information regarding professional standards of conduct (fitness to </w:t>
      </w:r>
      <w:proofErr w:type="spellStart"/>
      <w:r w:rsidRPr="00C8400B">
        <w:t>practise</w:t>
      </w:r>
      <w:proofErr w:type="spellEnd"/>
      <w:r w:rsidRPr="00C8400B">
        <w:t xml:space="preserve">), please refer to the University Regulations Governing the Investigation and Determination of Concerns about Fitness to </w:t>
      </w:r>
      <w:proofErr w:type="spellStart"/>
      <w:r w:rsidRPr="00C8400B">
        <w:t>Practise</w:t>
      </w:r>
      <w:proofErr w:type="spellEnd"/>
      <w:r w:rsidRPr="00C8400B">
        <w:t>.</w:t>
      </w:r>
    </w:p>
    <w:p w:rsidR="00C8400B" w:rsidP="00E974E4" w:rsidRDefault="00C8400B" w14:paraId="760D1FEC" w14:textId="7CCBA91D">
      <w:pPr>
        <w:pStyle w:val="Heading1"/>
        <w:numPr>
          <w:ilvl w:val="0"/>
          <w:numId w:val="0"/>
        </w:numPr>
        <w:ind w:left="680"/>
      </w:pPr>
      <w:bookmarkStart w:name="_Toc142400309" w:id="29"/>
      <w:r>
        <w:t>RESULTS AND AWARDS</w:t>
      </w:r>
      <w:bookmarkEnd w:id="29"/>
    </w:p>
    <w:p w:rsidR="00C8400B" w:rsidP="00E974E4" w:rsidRDefault="00C8400B" w14:paraId="2C23B233" w14:textId="7854FFD0">
      <w:pPr>
        <w:pStyle w:val="Heading1"/>
      </w:pPr>
      <w:bookmarkStart w:name="_Toc142400310" w:id="30"/>
      <w:r>
        <w:t>Notifications of Results and Transcripts</w:t>
      </w:r>
      <w:bookmarkEnd w:id="30"/>
    </w:p>
    <w:p w:rsidRPr="00C8400B" w:rsidR="00C8400B" w:rsidP="00E974E4" w:rsidRDefault="00C8400B" w14:paraId="6FE6D522" w14:textId="0B392D9E">
      <w:pPr>
        <w:pStyle w:val="numberedmainbody"/>
      </w:pPr>
      <w:r w:rsidRPr="00C8400B">
        <w:t>All candidates shall be entitled to an official transcript on completion provided they are not in debt to the University for the payment of tuition fees.</w:t>
      </w:r>
    </w:p>
    <w:p w:rsidRPr="00C8400B" w:rsidR="00C8400B" w:rsidP="00C8400B" w:rsidRDefault="00C8400B" w14:paraId="649F47BF" w14:textId="77777777"/>
    <w:p w:rsidRPr="00C8400B" w:rsidR="00C8400B" w:rsidP="00C8400B" w:rsidRDefault="00C8400B" w14:paraId="70EEFCCA" w14:textId="62A81A65">
      <w:pPr>
        <w:sectPr w:rsidRPr="00C8400B" w:rsidR="00C8400B">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8F2463" w:rsidTr="008F2463" w14:paraId="45DEB1E7" w14:textId="3E350BF8">
        <w:tc>
          <w:tcPr>
            <w:tcW w:w="988" w:type="dxa"/>
          </w:tcPr>
          <w:p w:rsidRPr="008F2463" w:rsidR="008F2463" w:rsidP="008F2463" w:rsidRDefault="008F2463" w14:paraId="11A6EA5B" w14:textId="251ABB18">
            <w:pPr>
              <w:rPr>
                <w:rFonts w:ascii="Calibri" w:hAnsi="Calibri" w:cs="Arial"/>
                <w:b/>
                <w:bCs/>
              </w:rPr>
            </w:pPr>
            <w:r w:rsidRPr="008F2463">
              <w:rPr>
                <w:rFonts w:ascii="Calibri" w:hAnsi="Calibri" w:cs="Arial"/>
                <w:b/>
                <w:bCs/>
              </w:rPr>
              <w:t>Version</w:t>
            </w:r>
          </w:p>
        </w:tc>
        <w:tc>
          <w:tcPr>
            <w:tcW w:w="3118" w:type="dxa"/>
          </w:tcPr>
          <w:p w:rsidRPr="008F2463" w:rsidR="008F2463" w:rsidP="008F2463" w:rsidRDefault="008F2463" w14:paraId="4B79674B" w14:textId="6C675955">
            <w:pPr>
              <w:rPr>
                <w:rFonts w:ascii="Calibri" w:hAnsi="Calibri" w:cs="Arial"/>
                <w:b/>
                <w:bCs/>
              </w:rPr>
            </w:pPr>
            <w:r w:rsidRPr="008F2463">
              <w:rPr>
                <w:rFonts w:ascii="Calibri" w:hAnsi="Calibri" w:cs="Arial"/>
                <w:b/>
                <w:bCs/>
              </w:rPr>
              <w:t>Author</w:t>
            </w:r>
          </w:p>
        </w:tc>
        <w:tc>
          <w:tcPr>
            <w:tcW w:w="1701" w:type="dxa"/>
          </w:tcPr>
          <w:p w:rsidRPr="008F2463" w:rsidR="008F2463" w:rsidP="008F2463" w:rsidRDefault="008F2463" w14:paraId="0B7C97F8" w14:textId="31A7D01B">
            <w:pPr>
              <w:rPr>
                <w:rFonts w:ascii="Calibri" w:hAnsi="Calibri" w:cs="Arial"/>
                <w:b/>
                <w:bCs/>
              </w:rPr>
            </w:pPr>
            <w:r w:rsidRPr="008F2463">
              <w:rPr>
                <w:rFonts w:ascii="Calibri" w:hAnsi="Calibri" w:cs="Arial"/>
                <w:b/>
                <w:bCs/>
              </w:rPr>
              <w:t>Date approved</w:t>
            </w:r>
          </w:p>
        </w:tc>
        <w:tc>
          <w:tcPr>
            <w:tcW w:w="3827" w:type="dxa"/>
          </w:tcPr>
          <w:p w:rsidRPr="008F2463" w:rsidR="008F2463" w:rsidP="008F2463" w:rsidRDefault="008F2463" w14:paraId="1418FD04" w14:textId="0A19A50A">
            <w:pPr>
              <w:rPr>
                <w:rFonts w:ascii="Calibri" w:hAnsi="Calibri" w:cs="Arial"/>
                <w:b/>
                <w:bCs/>
              </w:rPr>
            </w:pPr>
            <w:r w:rsidRPr="008F2463">
              <w:rPr>
                <w:rFonts w:ascii="Calibri" w:hAnsi="Calibri" w:cs="Arial"/>
                <w:b/>
                <w:bCs/>
              </w:rPr>
              <w:t>Relevant sections</w:t>
            </w:r>
          </w:p>
        </w:tc>
      </w:tr>
      <w:tr w:rsidRPr="00725DC7" w:rsidR="00725DC7" w:rsidTr="008F2463" w14:paraId="015F66D4" w14:textId="77777777">
        <w:tc>
          <w:tcPr>
            <w:tcW w:w="988" w:type="dxa"/>
          </w:tcPr>
          <w:p w:rsidRPr="00C53C2E" w:rsidR="00725DC7" w:rsidP="008F2463" w:rsidRDefault="00725DC7" w14:paraId="5EB68220" w14:textId="168CC207">
            <w:pPr>
              <w:rPr>
                <w:rFonts w:ascii="Calibri" w:hAnsi="Calibri" w:cs="Arial"/>
              </w:rPr>
            </w:pPr>
            <w:r>
              <w:rPr>
                <w:rFonts w:ascii="Calibri" w:hAnsi="Calibri" w:cs="Arial"/>
              </w:rPr>
              <w:t>2 11</w:t>
            </w:r>
          </w:p>
        </w:tc>
        <w:tc>
          <w:tcPr>
            <w:tcW w:w="3118" w:type="dxa"/>
          </w:tcPr>
          <w:p w:rsidRPr="00C53C2E" w:rsidR="00725DC7" w:rsidP="008F2463" w:rsidRDefault="00725DC7" w14:paraId="1AAAE78F" w14:textId="3F2CF413">
            <w:pPr>
              <w:rPr>
                <w:rFonts w:ascii="Calibri" w:hAnsi="Calibri" w:cs="Arial"/>
              </w:rPr>
            </w:pPr>
            <w:r>
              <w:rPr>
                <w:rFonts w:ascii="Calibri" w:hAnsi="Calibri" w:cs="Arial"/>
              </w:rPr>
              <w:t>Elaine Brookes, Doctoral College</w:t>
            </w:r>
          </w:p>
        </w:tc>
        <w:tc>
          <w:tcPr>
            <w:tcW w:w="1701" w:type="dxa"/>
          </w:tcPr>
          <w:p w:rsidRPr="00C53C2E" w:rsidR="00725DC7" w:rsidP="008F2463" w:rsidRDefault="00725DC7" w14:paraId="29821BF0" w14:textId="637C18E1">
            <w:pPr>
              <w:rPr>
                <w:rFonts w:ascii="Calibri" w:hAnsi="Calibri" w:cs="Arial"/>
              </w:rPr>
            </w:pPr>
            <w:r>
              <w:rPr>
                <w:rFonts w:ascii="Calibri" w:hAnsi="Calibri" w:cs="Arial"/>
              </w:rPr>
              <w:t>September 2025, Housekeeping</w:t>
            </w:r>
          </w:p>
        </w:tc>
        <w:tc>
          <w:tcPr>
            <w:tcW w:w="3827" w:type="dxa"/>
          </w:tcPr>
          <w:p w:rsidRPr="00C53C2E" w:rsidR="00725DC7" w:rsidP="008F2463" w:rsidRDefault="00725DC7" w14:paraId="7F76887F" w14:textId="2AC6DA92">
            <w:pPr>
              <w:rPr>
                <w:rFonts w:ascii="Calibri" w:hAnsi="Calibri" w:cs="Arial"/>
              </w:rPr>
            </w:pPr>
            <w:proofErr w:type="gramStart"/>
            <w:r>
              <w:rPr>
                <w:rFonts w:ascii="Calibri" w:hAnsi="Calibri" w:cs="Arial"/>
              </w:rPr>
              <w:t>7  Research</w:t>
            </w:r>
            <w:proofErr w:type="gramEnd"/>
            <w:r>
              <w:rPr>
                <w:rFonts w:ascii="Calibri" w:hAnsi="Calibri" w:cs="Arial"/>
              </w:rPr>
              <w:t xml:space="preserve"> Training. PGR Development Programme replaces the Postgraduate Training Scheme.</w:t>
            </w:r>
          </w:p>
        </w:tc>
      </w:tr>
      <w:tr w:rsidR="00BA29B8" w:rsidTr="008F2463" w14:paraId="0B41636D" w14:textId="77777777">
        <w:tc>
          <w:tcPr>
            <w:tcW w:w="988" w:type="dxa"/>
          </w:tcPr>
          <w:p w:rsidRPr="00D51FFA" w:rsidR="00BA29B8" w:rsidP="00BA29B8" w:rsidRDefault="00BA29B8" w14:paraId="2F1F90FF" w14:textId="1A9A85FE">
            <w:pPr>
              <w:rPr>
                <w:rFonts w:ascii="Calibri" w:hAnsi="Calibri" w:cs="Arial"/>
                <w:sz w:val="20"/>
                <w:szCs w:val="20"/>
              </w:rPr>
            </w:pPr>
            <w:r w:rsidRPr="00D51FFA">
              <w:rPr>
                <w:rFonts w:ascii="Calibri" w:hAnsi="Calibri" w:cs="Arial"/>
                <w:sz w:val="20"/>
                <w:szCs w:val="20"/>
              </w:rPr>
              <w:t>2 10</w:t>
            </w:r>
          </w:p>
        </w:tc>
        <w:tc>
          <w:tcPr>
            <w:tcW w:w="3118" w:type="dxa"/>
          </w:tcPr>
          <w:p w:rsidRPr="00D51FFA" w:rsidR="00BA29B8" w:rsidP="00BA29B8" w:rsidRDefault="00BA29B8" w14:paraId="690A56A8" w14:textId="7C675203">
            <w:pPr>
              <w:rPr>
                <w:rFonts w:ascii="Calibri" w:hAnsi="Calibri" w:cs="Arial"/>
                <w:sz w:val="20"/>
                <w:szCs w:val="20"/>
              </w:rPr>
            </w:pPr>
            <w:r w:rsidRPr="00D51FFA">
              <w:rPr>
                <w:rFonts w:cstheme="minorHAnsi"/>
                <w:sz w:val="20"/>
                <w:szCs w:val="20"/>
              </w:rPr>
              <w:t>Lisa Tees, Quality Manager, Quality Support Service</w:t>
            </w:r>
          </w:p>
        </w:tc>
        <w:tc>
          <w:tcPr>
            <w:tcW w:w="1701" w:type="dxa"/>
          </w:tcPr>
          <w:p w:rsidRPr="00D51FFA" w:rsidR="00BA29B8" w:rsidP="00BA29B8" w:rsidRDefault="00BA29B8" w14:paraId="4CAB6AEF" w14:textId="6107B286">
            <w:pPr>
              <w:rPr>
                <w:rFonts w:ascii="Calibri" w:hAnsi="Calibri" w:cs="Arial"/>
                <w:sz w:val="20"/>
                <w:szCs w:val="20"/>
              </w:rPr>
            </w:pPr>
            <w:r w:rsidRPr="00D51FFA">
              <w:rPr>
                <w:rFonts w:cstheme="minorHAnsi"/>
                <w:sz w:val="20"/>
                <w:szCs w:val="20"/>
              </w:rPr>
              <w:t>August 2023, Housekeeping.</w:t>
            </w:r>
          </w:p>
        </w:tc>
        <w:tc>
          <w:tcPr>
            <w:tcW w:w="3827" w:type="dxa"/>
          </w:tcPr>
          <w:p w:rsidRPr="00D51FFA" w:rsidR="00BA29B8" w:rsidP="00BA29B8" w:rsidRDefault="00BA29B8" w14:paraId="202AB769" w14:textId="32F91595">
            <w:pPr>
              <w:pStyle w:val="ListParagraph"/>
              <w:numPr>
                <w:ilvl w:val="0"/>
                <w:numId w:val="18"/>
              </w:numPr>
              <w:spacing w:after="160" w:line="259" w:lineRule="auto"/>
              <w:rPr>
                <w:rFonts w:eastAsia="Times New Roman" w:cstheme="minorHAnsi"/>
                <w:sz w:val="20"/>
                <w:szCs w:val="20"/>
              </w:rPr>
            </w:pPr>
            <w:r w:rsidRPr="00D51FFA">
              <w:rPr>
                <w:rFonts w:eastAsia="Times New Roman" w:cstheme="minorHAnsi"/>
                <w:sz w:val="20"/>
                <w:szCs w:val="20"/>
              </w:rPr>
              <w:t>9.3 – amendment. Makes clear that a suspension of study may be required for students who need a period of suspension to complete outstanding assessments.</w:t>
            </w:r>
          </w:p>
          <w:p w:rsidRPr="00D51FFA" w:rsidR="00BA29B8" w:rsidP="00D51FFA" w:rsidRDefault="00BA29B8" w14:paraId="67322EFC" w14:textId="56533C93">
            <w:pPr>
              <w:pStyle w:val="ListParagraph"/>
              <w:numPr>
                <w:ilvl w:val="0"/>
                <w:numId w:val="18"/>
              </w:numPr>
              <w:spacing w:line="259" w:lineRule="auto"/>
              <w:rPr>
                <w:rFonts w:eastAsia="Times New Roman" w:cstheme="minorHAnsi"/>
                <w:sz w:val="20"/>
                <w:szCs w:val="20"/>
              </w:rPr>
            </w:pPr>
            <w:r w:rsidRPr="00D51FFA">
              <w:rPr>
                <w:rFonts w:eastAsia="Times New Roman" w:cstheme="minorHAnsi"/>
                <w:sz w:val="20"/>
                <w:szCs w:val="20"/>
              </w:rPr>
              <w:t>Replaces Registry Services with Academic Services.</w:t>
            </w:r>
          </w:p>
        </w:tc>
      </w:tr>
      <w:tr w:rsidR="008F2463" w:rsidTr="008F2463" w14:paraId="04C0DC0E" w14:textId="1DAF46B7">
        <w:tc>
          <w:tcPr>
            <w:tcW w:w="988" w:type="dxa"/>
          </w:tcPr>
          <w:p w:rsidRPr="00D51FFA" w:rsidR="008F2463" w:rsidP="008F2463" w:rsidRDefault="00B938AF" w14:paraId="0B5BB639" w14:textId="208A6442">
            <w:pPr>
              <w:rPr>
                <w:rFonts w:ascii="Calibri" w:hAnsi="Calibri" w:cs="Arial"/>
                <w:sz w:val="20"/>
                <w:szCs w:val="20"/>
              </w:rPr>
            </w:pPr>
            <w:r w:rsidRPr="00D51FFA">
              <w:rPr>
                <w:rFonts w:ascii="Calibri" w:hAnsi="Calibri" w:cs="Arial"/>
                <w:sz w:val="20"/>
                <w:szCs w:val="20"/>
              </w:rPr>
              <w:t>2 09</w:t>
            </w:r>
          </w:p>
        </w:tc>
        <w:tc>
          <w:tcPr>
            <w:tcW w:w="3118" w:type="dxa"/>
          </w:tcPr>
          <w:p w:rsidRPr="00D51FFA" w:rsidR="008F2463" w:rsidP="008F2463" w:rsidRDefault="00BA29B8" w14:paraId="586A713D" w14:textId="45CCFCF1">
            <w:pPr>
              <w:rPr>
                <w:rFonts w:ascii="Calibri" w:hAnsi="Calibri" w:cs="Arial"/>
                <w:sz w:val="20"/>
                <w:szCs w:val="20"/>
              </w:rPr>
            </w:pPr>
            <w:r w:rsidRPr="00D51FFA">
              <w:rPr>
                <w:rFonts w:cstheme="minorHAnsi"/>
                <w:sz w:val="20"/>
                <w:szCs w:val="20"/>
              </w:rPr>
              <w:t>Lisa Tees, Quality Manager, Quality Support Service</w:t>
            </w:r>
          </w:p>
        </w:tc>
        <w:tc>
          <w:tcPr>
            <w:tcW w:w="1701" w:type="dxa"/>
          </w:tcPr>
          <w:p w:rsidRPr="00D51FFA" w:rsidR="008F2463" w:rsidP="008F2463" w:rsidRDefault="00D51FFA" w14:paraId="06870469" w14:textId="62C239FA">
            <w:pPr>
              <w:rPr>
                <w:rFonts w:ascii="Calibri" w:hAnsi="Calibri" w:cs="Arial"/>
                <w:sz w:val="20"/>
                <w:szCs w:val="20"/>
              </w:rPr>
            </w:pPr>
            <w:r w:rsidRPr="00D51FFA">
              <w:rPr>
                <w:rFonts w:ascii="Calibri" w:hAnsi="Calibri" w:cs="Arial"/>
                <w:sz w:val="20"/>
                <w:szCs w:val="20"/>
              </w:rPr>
              <w:t>Nov 2021</w:t>
            </w:r>
          </w:p>
        </w:tc>
        <w:tc>
          <w:tcPr>
            <w:tcW w:w="3827" w:type="dxa"/>
          </w:tcPr>
          <w:p w:rsidRPr="00D51FFA" w:rsidR="008F2463" w:rsidP="008F2463" w:rsidRDefault="00B938AF" w14:paraId="6838A029" w14:textId="1ABC41B3">
            <w:pPr>
              <w:rPr>
                <w:rFonts w:ascii="Calibri" w:hAnsi="Calibri" w:cs="Arial"/>
                <w:sz w:val="20"/>
                <w:szCs w:val="20"/>
              </w:rPr>
            </w:pPr>
            <w:r w:rsidRPr="00D51FFA">
              <w:rPr>
                <w:rFonts w:ascii="Calibri" w:hAnsi="Calibri" w:cs="Arial"/>
                <w:sz w:val="20"/>
                <w:szCs w:val="20"/>
              </w:rPr>
              <w:t>Migrated to new template</w:t>
            </w:r>
          </w:p>
        </w:tc>
      </w:tr>
      <w:tr w:rsidR="00D51FFA" w:rsidTr="008F2463" w14:paraId="2B4E243D" w14:textId="5F65423F">
        <w:tc>
          <w:tcPr>
            <w:tcW w:w="988" w:type="dxa"/>
          </w:tcPr>
          <w:p w:rsidRPr="00D51FFA" w:rsidR="00D51FFA" w:rsidP="00D51FFA" w:rsidRDefault="00D51FFA" w14:paraId="75C6C97E" w14:textId="711DB840">
            <w:pPr>
              <w:rPr>
                <w:rFonts w:ascii="Calibri" w:hAnsi="Calibri" w:cs="Arial"/>
                <w:sz w:val="20"/>
                <w:szCs w:val="20"/>
              </w:rPr>
            </w:pPr>
            <w:r w:rsidRPr="00D51FFA">
              <w:rPr>
                <w:rFonts w:ascii="Calibri" w:hAnsi="Calibri" w:cs="Arial"/>
                <w:sz w:val="20"/>
                <w:szCs w:val="20"/>
              </w:rPr>
              <w:t>2 09</w:t>
            </w:r>
          </w:p>
        </w:tc>
        <w:tc>
          <w:tcPr>
            <w:tcW w:w="3118" w:type="dxa"/>
          </w:tcPr>
          <w:p w:rsidRPr="00D51FFA" w:rsidR="00D51FFA" w:rsidP="00D51FFA" w:rsidRDefault="00D51FFA" w14:paraId="662CE0C1" w14:textId="1C32595A">
            <w:pPr>
              <w:rPr>
                <w:rFonts w:ascii="Calibri" w:hAnsi="Calibri" w:cs="Arial"/>
                <w:sz w:val="20"/>
                <w:szCs w:val="20"/>
              </w:rPr>
            </w:pPr>
            <w:r w:rsidRPr="00D51FFA">
              <w:rPr>
                <w:rFonts w:cstheme="minorHAnsi"/>
                <w:sz w:val="20"/>
                <w:szCs w:val="20"/>
              </w:rPr>
              <w:t>Lisa Tees, Quality Manager, Quality Support Service</w:t>
            </w:r>
          </w:p>
        </w:tc>
        <w:tc>
          <w:tcPr>
            <w:tcW w:w="1701" w:type="dxa"/>
          </w:tcPr>
          <w:p w:rsidRPr="00D51FFA" w:rsidR="00D51FFA" w:rsidP="00D51FFA" w:rsidRDefault="00D51FFA" w14:paraId="62B74139" w14:textId="06897559">
            <w:pPr>
              <w:rPr>
                <w:rFonts w:ascii="Calibri" w:hAnsi="Calibri" w:cs="Arial"/>
                <w:sz w:val="20"/>
                <w:szCs w:val="20"/>
              </w:rPr>
            </w:pPr>
            <w:r w:rsidRPr="00D51FFA">
              <w:rPr>
                <w:rFonts w:ascii="Calibri" w:hAnsi="Calibri" w:cs="Arial"/>
                <w:sz w:val="20"/>
                <w:szCs w:val="20"/>
              </w:rPr>
              <w:t>Aug 2021, Housekeeping</w:t>
            </w:r>
          </w:p>
        </w:tc>
        <w:tc>
          <w:tcPr>
            <w:tcW w:w="3827" w:type="dxa"/>
          </w:tcPr>
          <w:p w:rsidRPr="00D51FFA" w:rsidR="00D51FFA" w:rsidP="00D51FFA" w:rsidRDefault="00D51FFA" w14:paraId="169C8D32" w14:textId="77777777">
            <w:pPr>
              <w:numPr>
                <w:ilvl w:val="0"/>
                <w:numId w:val="19"/>
              </w:numPr>
              <w:contextualSpacing/>
              <w:rPr>
                <w:rFonts w:cs="Arial"/>
                <w:noProof/>
                <w:sz w:val="20"/>
                <w:szCs w:val="20"/>
              </w:rPr>
            </w:pPr>
            <w:r w:rsidRPr="00D51FFA">
              <w:rPr>
                <w:rFonts w:cs="Arial"/>
                <w:noProof/>
                <w:sz w:val="20"/>
                <w:szCs w:val="20"/>
              </w:rPr>
              <w:t>Reference to University Regulations Governing the Investigation and Determination of Allegations of Professional Unsuitability and Professional Misconduct is replaced with</w:t>
            </w:r>
            <w:r w:rsidRPr="00D51FFA">
              <w:rPr>
                <w:noProof/>
                <w:sz w:val="20"/>
                <w:szCs w:val="20"/>
              </w:rPr>
              <w:t xml:space="preserve"> </w:t>
            </w:r>
            <w:r w:rsidRPr="00D51FFA">
              <w:rPr>
                <w:rFonts w:cs="Arial"/>
                <w:noProof/>
                <w:sz w:val="20"/>
                <w:szCs w:val="20"/>
              </w:rPr>
              <w:t xml:space="preserve">University Regulations governing the Investigation and Determination of Concerns about Fitness to Practise (Reg 21). </w:t>
            </w:r>
          </w:p>
          <w:p w:rsidRPr="00D51FFA" w:rsidR="00D51FFA" w:rsidP="00D51FFA" w:rsidRDefault="00D51FFA" w14:paraId="4AAB66AB" w14:textId="68E5733A">
            <w:pPr>
              <w:numPr>
                <w:ilvl w:val="0"/>
                <w:numId w:val="19"/>
              </w:numPr>
              <w:contextualSpacing/>
              <w:rPr>
                <w:rFonts w:cs="Arial"/>
                <w:noProof/>
                <w:sz w:val="20"/>
                <w:szCs w:val="20"/>
              </w:rPr>
            </w:pPr>
            <w:r w:rsidRPr="00D51FFA">
              <w:rPr>
                <w:rFonts w:cs="Arial"/>
                <w:noProof/>
                <w:sz w:val="20"/>
                <w:szCs w:val="20"/>
              </w:rPr>
              <w:t>Replaces Quality Governance with Quality Support Service.</w:t>
            </w:r>
          </w:p>
        </w:tc>
      </w:tr>
      <w:tr w:rsidR="00D51FFA" w:rsidTr="008F2463" w14:paraId="720869D6" w14:textId="2C8E8AA9">
        <w:tc>
          <w:tcPr>
            <w:tcW w:w="988" w:type="dxa"/>
          </w:tcPr>
          <w:p w:rsidRPr="00D51FFA" w:rsidR="00D51FFA" w:rsidP="00D51FFA" w:rsidRDefault="00D51FFA" w14:paraId="6FD10DA7" w14:textId="3A674441">
            <w:pPr>
              <w:rPr>
                <w:rFonts w:ascii="Calibri" w:hAnsi="Calibri" w:cs="Arial"/>
                <w:sz w:val="20"/>
                <w:szCs w:val="20"/>
              </w:rPr>
            </w:pPr>
            <w:r w:rsidRPr="00D51FFA">
              <w:rPr>
                <w:rFonts w:ascii="Calibri" w:hAnsi="Calibri" w:cs="Arial"/>
                <w:sz w:val="20"/>
                <w:szCs w:val="20"/>
              </w:rPr>
              <w:t>2 08</w:t>
            </w:r>
          </w:p>
        </w:tc>
        <w:tc>
          <w:tcPr>
            <w:tcW w:w="3118" w:type="dxa"/>
          </w:tcPr>
          <w:p w:rsidRPr="00D51FFA" w:rsidR="00D51FFA" w:rsidP="00D51FFA" w:rsidRDefault="00D51FFA" w14:paraId="4205A32C" w14:textId="3B18DCC7">
            <w:pPr>
              <w:rPr>
                <w:rFonts w:ascii="Calibri" w:hAnsi="Calibri" w:cs="Arial"/>
                <w:sz w:val="20"/>
                <w:szCs w:val="20"/>
              </w:rPr>
            </w:pPr>
            <w:r w:rsidRPr="00D51FFA">
              <w:rPr>
                <w:rFonts w:cstheme="minorHAnsi"/>
                <w:sz w:val="20"/>
                <w:szCs w:val="20"/>
              </w:rPr>
              <w:t>Lisa Tees, Quality Manager, Quality Governance</w:t>
            </w:r>
          </w:p>
        </w:tc>
        <w:tc>
          <w:tcPr>
            <w:tcW w:w="1701" w:type="dxa"/>
          </w:tcPr>
          <w:p w:rsidRPr="00D51FFA" w:rsidR="00D51FFA" w:rsidP="00D51FFA" w:rsidRDefault="00D51FFA" w14:paraId="6D51B137" w14:textId="15138A63">
            <w:pPr>
              <w:rPr>
                <w:rFonts w:ascii="Calibri" w:hAnsi="Calibri" w:cs="Arial"/>
                <w:sz w:val="20"/>
                <w:szCs w:val="20"/>
              </w:rPr>
            </w:pPr>
            <w:r w:rsidRPr="00D51FFA">
              <w:rPr>
                <w:rFonts w:ascii="Calibri" w:hAnsi="Calibri" w:cs="Arial"/>
                <w:sz w:val="20"/>
                <w:szCs w:val="20"/>
              </w:rPr>
              <w:t>Sept 2019, Housekeeping</w:t>
            </w:r>
          </w:p>
        </w:tc>
        <w:tc>
          <w:tcPr>
            <w:tcW w:w="3827" w:type="dxa"/>
          </w:tcPr>
          <w:p w:rsidRPr="00D51FFA" w:rsidR="00D51FFA" w:rsidP="00D51FFA" w:rsidRDefault="00D51FFA" w14:paraId="2D32B912" w14:textId="77777777">
            <w:pPr>
              <w:pStyle w:val="ListParagraph"/>
              <w:numPr>
                <w:ilvl w:val="0"/>
                <w:numId w:val="20"/>
              </w:numPr>
              <w:rPr>
                <w:rFonts w:cs="Arial"/>
                <w:bCs/>
                <w:color w:val="000000"/>
                <w:sz w:val="20"/>
                <w:szCs w:val="20"/>
              </w:rPr>
            </w:pPr>
            <w:r w:rsidRPr="00D51FFA">
              <w:rPr>
                <w:rFonts w:cs="Arial"/>
                <w:bCs/>
                <w:color w:val="000000"/>
                <w:sz w:val="20"/>
                <w:szCs w:val="20"/>
              </w:rPr>
              <w:t>Replaces School with Academic Unit</w:t>
            </w:r>
          </w:p>
          <w:p w:rsidRPr="00D51FFA" w:rsidR="00D51FFA" w:rsidP="00D51FFA" w:rsidRDefault="00D51FFA" w14:paraId="0DF2A6EF" w14:textId="77777777">
            <w:pPr>
              <w:pStyle w:val="ListParagraph"/>
              <w:numPr>
                <w:ilvl w:val="0"/>
                <w:numId w:val="20"/>
              </w:numPr>
              <w:rPr>
                <w:rFonts w:cs="Arial"/>
                <w:bCs/>
                <w:color w:val="000000"/>
                <w:sz w:val="20"/>
                <w:szCs w:val="20"/>
              </w:rPr>
            </w:pPr>
            <w:r w:rsidRPr="00D51FFA">
              <w:rPr>
                <w:rFonts w:cs="Arial"/>
                <w:bCs/>
                <w:color w:val="000000"/>
                <w:sz w:val="20"/>
                <w:szCs w:val="20"/>
              </w:rPr>
              <w:t>Replaces Learning, Teaching and Enhancement with Quality Governance.</w:t>
            </w:r>
          </w:p>
          <w:p w:rsidRPr="00D51FFA" w:rsidR="00D51FFA" w:rsidP="00D51FFA" w:rsidRDefault="00D51FFA" w14:paraId="30FAC590" w14:textId="77777777">
            <w:pPr>
              <w:pStyle w:val="ListParagraph"/>
              <w:numPr>
                <w:ilvl w:val="0"/>
                <w:numId w:val="20"/>
              </w:numPr>
              <w:rPr>
                <w:rFonts w:cs="Arial"/>
                <w:bCs/>
                <w:color w:val="000000"/>
                <w:sz w:val="20"/>
                <w:szCs w:val="20"/>
              </w:rPr>
            </w:pPr>
            <w:r w:rsidRPr="00D51FFA">
              <w:rPr>
                <w:rFonts w:cs="Arial"/>
                <w:bCs/>
                <w:color w:val="000000"/>
                <w:sz w:val="20"/>
                <w:szCs w:val="20"/>
              </w:rPr>
              <w:t>Replaces Graduate School with Doctoral College.</w:t>
            </w:r>
          </w:p>
          <w:p w:rsidRPr="00D51FFA" w:rsidR="00D51FFA" w:rsidP="00D51FFA" w:rsidRDefault="00D51FFA" w14:paraId="736A3561" w14:textId="6D03E949">
            <w:pPr>
              <w:pStyle w:val="ListParagraph"/>
              <w:numPr>
                <w:ilvl w:val="0"/>
                <w:numId w:val="20"/>
              </w:numPr>
              <w:rPr>
                <w:rFonts w:cs="Arial"/>
                <w:bCs/>
                <w:color w:val="000000"/>
                <w:sz w:val="20"/>
                <w:szCs w:val="20"/>
              </w:rPr>
            </w:pPr>
            <w:r w:rsidRPr="00D51FFA">
              <w:rPr>
                <w:rFonts w:cs="Arial"/>
                <w:bCs/>
                <w:color w:val="000000"/>
                <w:sz w:val="20"/>
                <w:szCs w:val="20"/>
              </w:rPr>
              <w:t>Replaces Student Progress Committee with Student Case Committee.</w:t>
            </w:r>
          </w:p>
        </w:tc>
      </w:tr>
      <w:tr w:rsidR="00D51FFA" w:rsidTr="008F2463" w14:paraId="745A7F27" w14:textId="77777777">
        <w:tc>
          <w:tcPr>
            <w:tcW w:w="988" w:type="dxa"/>
          </w:tcPr>
          <w:p w:rsidRPr="00D51FFA" w:rsidR="00D51FFA" w:rsidP="00D51FFA" w:rsidRDefault="00D51FFA" w14:paraId="1623FC13" w14:textId="778A9AA6">
            <w:pPr>
              <w:rPr>
                <w:rFonts w:ascii="Calibri" w:hAnsi="Calibri" w:cs="Arial"/>
                <w:sz w:val="20"/>
                <w:szCs w:val="20"/>
              </w:rPr>
            </w:pPr>
            <w:r w:rsidRPr="00D51FFA">
              <w:rPr>
                <w:rFonts w:ascii="Calibri" w:hAnsi="Calibri" w:cs="Arial"/>
                <w:sz w:val="20"/>
                <w:szCs w:val="20"/>
              </w:rPr>
              <w:t>2 07</w:t>
            </w:r>
          </w:p>
        </w:tc>
        <w:tc>
          <w:tcPr>
            <w:tcW w:w="3118" w:type="dxa"/>
          </w:tcPr>
          <w:p w:rsidRPr="00D51FFA" w:rsidR="00D51FFA" w:rsidP="00D51FFA" w:rsidRDefault="00D51FFA" w14:paraId="7D8A24D0" w14:textId="2FD13A44">
            <w:pPr>
              <w:rPr>
                <w:rFonts w:ascii="Calibri" w:hAnsi="Calibri" w:cs="Arial"/>
                <w:sz w:val="20"/>
                <w:szCs w:val="20"/>
              </w:rPr>
            </w:pPr>
            <w:r w:rsidRPr="00D51FFA">
              <w:rPr>
                <w:rFonts w:cstheme="minorHAnsi"/>
                <w:sz w:val="20"/>
                <w:szCs w:val="20"/>
              </w:rPr>
              <w:t>Lisa Tees, Quality Manager, Learning, Enhancement and Academic Practice (LEAP)</w:t>
            </w:r>
          </w:p>
        </w:tc>
        <w:tc>
          <w:tcPr>
            <w:tcW w:w="1701" w:type="dxa"/>
          </w:tcPr>
          <w:p w:rsidRPr="00D51FFA" w:rsidR="00D51FFA" w:rsidP="00D51FFA" w:rsidRDefault="00D51FFA" w14:paraId="37B33D71" w14:textId="0DCDC221">
            <w:pPr>
              <w:rPr>
                <w:rFonts w:ascii="Calibri" w:hAnsi="Calibri" w:cs="Arial"/>
                <w:sz w:val="20"/>
                <w:szCs w:val="20"/>
              </w:rPr>
            </w:pPr>
            <w:r w:rsidRPr="00D51FFA">
              <w:rPr>
                <w:rFonts w:ascii="Calibri" w:hAnsi="Calibri" w:cs="Arial"/>
                <w:sz w:val="20"/>
                <w:szCs w:val="20"/>
              </w:rPr>
              <w:t>July 2017, Housekeeping</w:t>
            </w:r>
          </w:p>
        </w:tc>
        <w:tc>
          <w:tcPr>
            <w:tcW w:w="3827" w:type="dxa"/>
          </w:tcPr>
          <w:p w:rsidRPr="00D51FFA" w:rsidR="00D51FFA" w:rsidP="00D51FFA" w:rsidRDefault="00D51FFA" w14:paraId="7248F7E2" w14:textId="20168042">
            <w:pPr>
              <w:jc w:val="both"/>
              <w:rPr>
                <w:rFonts w:cs="Arial"/>
                <w:bCs/>
                <w:sz w:val="20"/>
                <w:szCs w:val="20"/>
              </w:rPr>
            </w:pPr>
            <w:r w:rsidRPr="00D51FFA">
              <w:rPr>
                <w:rFonts w:cs="Arial"/>
                <w:bCs/>
                <w:sz w:val="20"/>
                <w:szCs w:val="20"/>
              </w:rPr>
              <w:t>Housekeeping changes to clarify the submission of the thesis, Reg 14.</w:t>
            </w:r>
          </w:p>
        </w:tc>
      </w:tr>
      <w:tr w:rsidR="00D51FFA" w:rsidTr="008F2463" w14:paraId="34BFFBFB" w14:textId="77777777">
        <w:tc>
          <w:tcPr>
            <w:tcW w:w="988" w:type="dxa"/>
          </w:tcPr>
          <w:p w:rsidRPr="00D51FFA" w:rsidR="00D51FFA" w:rsidP="00D51FFA" w:rsidRDefault="00D51FFA" w14:paraId="05AF2184" w14:textId="75526E2F">
            <w:pPr>
              <w:rPr>
                <w:rFonts w:ascii="Calibri" w:hAnsi="Calibri" w:cs="Arial"/>
                <w:sz w:val="20"/>
                <w:szCs w:val="20"/>
              </w:rPr>
            </w:pPr>
            <w:r w:rsidRPr="00D51FFA">
              <w:rPr>
                <w:rFonts w:ascii="Calibri" w:hAnsi="Calibri" w:cs="Arial"/>
                <w:sz w:val="20"/>
                <w:szCs w:val="20"/>
              </w:rPr>
              <w:t>2 06</w:t>
            </w:r>
          </w:p>
        </w:tc>
        <w:tc>
          <w:tcPr>
            <w:tcW w:w="3118" w:type="dxa"/>
          </w:tcPr>
          <w:p w:rsidRPr="00D51FFA" w:rsidR="00D51FFA" w:rsidP="00D51FFA" w:rsidRDefault="00D51FFA" w14:paraId="2AA568FF" w14:textId="6E9DD849">
            <w:pPr>
              <w:rPr>
                <w:rFonts w:cstheme="minorHAnsi"/>
                <w:sz w:val="20"/>
                <w:szCs w:val="20"/>
              </w:rPr>
            </w:pPr>
            <w:r w:rsidRPr="00D51FFA">
              <w:rPr>
                <w:rFonts w:cstheme="minorHAnsi"/>
                <w:sz w:val="20"/>
                <w:szCs w:val="20"/>
              </w:rPr>
              <w:t>Lisa Tees, Quality Manager, Learning, Enhancement and Academic Practice (LEAP)</w:t>
            </w:r>
          </w:p>
        </w:tc>
        <w:tc>
          <w:tcPr>
            <w:tcW w:w="1701" w:type="dxa"/>
          </w:tcPr>
          <w:p w:rsidRPr="00D51FFA" w:rsidR="00D51FFA" w:rsidP="00D51FFA" w:rsidRDefault="00D51FFA" w14:paraId="26B9C047" w14:textId="715AFF5C">
            <w:pPr>
              <w:rPr>
                <w:rFonts w:ascii="Calibri" w:hAnsi="Calibri" w:cs="Arial"/>
                <w:sz w:val="20"/>
                <w:szCs w:val="20"/>
              </w:rPr>
            </w:pPr>
            <w:r w:rsidRPr="00D51FFA">
              <w:rPr>
                <w:rFonts w:ascii="Calibri" w:hAnsi="Calibri" w:cs="Arial"/>
                <w:sz w:val="20"/>
                <w:szCs w:val="20"/>
              </w:rPr>
              <w:t>Sept 2016, Housekeeping</w:t>
            </w:r>
          </w:p>
        </w:tc>
        <w:tc>
          <w:tcPr>
            <w:tcW w:w="3827" w:type="dxa"/>
          </w:tcPr>
          <w:p w:rsidRPr="00D51FFA" w:rsidR="00D51FFA" w:rsidP="00D51FFA" w:rsidRDefault="00D51FFA" w14:paraId="70CA9B72" w14:textId="248F8EC7">
            <w:pPr>
              <w:numPr>
                <w:ilvl w:val="0"/>
                <w:numId w:val="22"/>
              </w:numPr>
              <w:contextualSpacing/>
              <w:rPr>
                <w:rFonts w:cs="Arial"/>
                <w:bCs/>
                <w:noProof/>
                <w:sz w:val="20"/>
                <w:szCs w:val="20"/>
              </w:rPr>
            </w:pPr>
            <w:r w:rsidRPr="00D51FFA">
              <w:rPr>
                <w:rFonts w:cs="Arial"/>
                <w:bCs/>
                <w:noProof/>
                <w:sz w:val="20"/>
                <w:szCs w:val="20"/>
              </w:rPr>
              <w:t>Replaces Unfair Means with Academic Misconduct.</w:t>
            </w:r>
          </w:p>
          <w:p w:rsidRPr="00D51FFA" w:rsidR="00D51FFA" w:rsidP="00D51FFA" w:rsidRDefault="00D51FFA" w14:paraId="27BA5602" w14:textId="32651E78">
            <w:pPr>
              <w:numPr>
                <w:ilvl w:val="0"/>
                <w:numId w:val="22"/>
              </w:numPr>
              <w:contextualSpacing/>
              <w:rPr>
                <w:rFonts w:cs="Arial"/>
                <w:bCs/>
                <w:noProof/>
                <w:sz w:val="20"/>
                <w:szCs w:val="20"/>
              </w:rPr>
            </w:pPr>
            <w:r w:rsidRPr="00D51FFA">
              <w:rPr>
                <w:rFonts w:cs="Arial"/>
                <w:bCs/>
                <w:noProof/>
                <w:sz w:val="20"/>
                <w:szCs w:val="20"/>
              </w:rPr>
              <w:t>Replaces Intercalation with Suspension of Study.</w:t>
            </w:r>
          </w:p>
          <w:p w:rsidRPr="00D51FFA" w:rsidR="00D51FFA" w:rsidP="00D51FFA" w:rsidRDefault="00D51FFA" w14:paraId="32824C4A" w14:textId="77777777">
            <w:pPr>
              <w:pStyle w:val="ListParagraph"/>
              <w:numPr>
                <w:ilvl w:val="0"/>
                <w:numId w:val="22"/>
              </w:numPr>
              <w:rPr>
                <w:rFonts w:cs="Arial"/>
                <w:bCs/>
                <w:sz w:val="20"/>
                <w:szCs w:val="20"/>
              </w:rPr>
            </w:pPr>
            <w:r w:rsidRPr="00D51FFA">
              <w:rPr>
                <w:rFonts w:cs="Arial"/>
                <w:bCs/>
                <w:sz w:val="20"/>
                <w:szCs w:val="20"/>
              </w:rPr>
              <w:t>Replaces Semester with Trimester</w:t>
            </w:r>
          </w:p>
          <w:p w:rsidRPr="00D51FFA" w:rsidR="00D51FFA" w:rsidP="00D51FFA" w:rsidRDefault="00D51FFA" w14:paraId="3F121BC4" w14:textId="298162CE">
            <w:pPr>
              <w:pStyle w:val="ListParagraph"/>
              <w:numPr>
                <w:ilvl w:val="0"/>
                <w:numId w:val="22"/>
              </w:numPr>
              <w:rPr>
                <w:rFonts w:cs="Arial"/>
                <w:bCs/>
                <w:sz w:val="20"/>
                <w:szCs w:val="20"/>
              </w:rPr>
            </w:pPr>
            <w:r w:rsidRPr="00D51FFA">
              <w:rPr>
                <w:rFonts w:cs="Arial"/>
                <w:bCs/>
                <w:sz w:val="20"/>
                <w:szCs w:val="20"/>
              </w:rPr>
              <w:t>Replaces Head of Department with Head of School.</w:t>
            </w:r>
          </w:p>
        </w:tc>
      </w:tr>
      <w:tr w:rsidR="00D51FFA" w:rsidTr="008F2463" w14:paraId="24F4B407" w14:textId="77777777">
        <w:tc>
          <w:tcPr>
            <w:tcW w:w="988" w:type="dxa"/>
          </w:tcPr>
          <w:p w:rsidRPr="00D51FFA" w:rsidR="00D51FFA" w:rsidP="00D51FFA" w:rsidRDefault="00D51FFA" w14:paraId="73356766" w14:textId="45AFD388">
            <w:pPr>
              <w:rPr>
                <w:rFonts w:ascii="Calibri" w:hAnsi="Calibri" w:cs="Arial"/>
                <w:sz w:val="20"/>
                <w:szCs w:val="20"/>
              </w:rPr>
            </w:pPr>
            <w:r w:rsidRPr="00D51FFA">
              <w:rPr>
                <w:rFonts w:ascii="Calibri" w:hAnsi="Calibri" w:cs="Arial"/>
                <w:sz w:val="20"/>
                <w:szCs w:val="20"/>
              </w:rPr>
              <w:t>2 05</w:t>
            </w:r>
          </w:p>
        </w:tc>
        <w:tc>
          <w:tcPr>
            <w:tcW w:w="3118" w:type="dxa"/>
          </w:tcPr>
          <w:p w:rsidRPr="00D51FFA" w:rsidR="00D51FFA" w:rsidP="00D51FFA" w:rsidRDefault="00D51FFA" w14:paraId="62CCA831" w14:textId="0A9E887E">
            <w:pPr>
              <w:rPr>
                <w:rFonts w:cstheme="minorHAnsi"/>
                <w:sz w:val="20"/>
                <w:szCs w:val="20"/>
              </w:rPr>
            </w:pPr>
            <w:r w:rsidRPr="00D51FFA">
              <w:rPr>
                <w:rFonts w:cstheme="minorHAnsi"/>
                <w:sz w:val="20"/>
                <w:szCs w:val="20"/>
              </w:rPr>
              <w:t>Jane Iddon, Quality Manager, Learning, Enhancement and Academic Practice (LEAP)</w:t>
            </w:r>
          </w:p>
        </w:tc>
        <w:tc>
          <w:tcPr>
            <w:tcW w:w="1701" w:type="dxa"/>
          </w:tcPr>
          <w:p w:rsidRPr="00D51FFA" w:rsidR="00D51FFA" w:rsidP="00D51FFA" w:rsidRDefault="00D51FFA" w14:paraId="605D4E9E" w14:textId="1F5F539E">
            <w:pPr>
              <w:rPr>
                <w:rFonts w:ascii="Calibri" w:hAnsi="Calibri" w:cs="Arial"/>
                <w:sz w:val="20"/>
                <w:szCs w:val="20"/>
              </w:rPr>
            </w:pPr>
            <w:r w:rsidRPr="00D51FFA">
              <w:rPr>
                <w:rFonts w:ascii="Calibri" w:hAnsi="Calibri" w:cs="Arial"/>
                <w:sz w:val="20"/>
                <w:szCs w:val="20"/>
              </w:rPr>
              <w:t>Sept 2014, Housekeeping</w:t>
            </w:r>
          </w:p>
        </w:tc>
        <w:tc>
          <w:tcPr>
            <w:tcW w:w="3827" w:type="dxa"/>
          </w:tcPr>
          <w:p w:rsidRPr="00D51FFA" w:rsidR="00D51FFA" w:rsidP="00D51FFA" w:rsidRDefault="00D51FFA" w14:paraId="769DF609" w14:textId="3C10613A">
            <w:pPr>
              <w:rPr>
                <w:rFonts w:cs="Arial"/>
                <w:sz w:val="20"/>
                <w:szCs w:val="20"/>
              </w:rPr>
            </w:pPr>
            <w:r w:rsidRPr="00D51FFA">
              <w:rPr>
                <w:rFonts w:cs="Arial"/>
                <w:sz w:val="20"/>
                <w:szCs w:val="20"/>
              </w:rPr>
              <w:t>Addition of an explanatory note regarding extensions for students studying with a Tier 4 visa (reg. 15).</w:t>
            </w:r>
          </w:p>
        </w:tc>
      </w:tr>
      <w:tr w:rsidR="00D51FFA" w:rsidTr="008F2463" w14:paraId="6A66E4E8" w14:textId="77777777">
        <w:tc>
          <w:tcPr>
            <w:tcW w:w="988" w:type="dxa"/>
          </w:tcPr>
          <w:p w:rsidRPr="00D51FFA" w:rsidR="00D51FFA" w:rsidP="00D51FFA" w:rsidRDefault="00D51FFA" w14:paraId="3C285DA5" w14:textId="0D06C516">
            <w:pPr>
              <w:rPr>
                <w:rFonts w:ascii="Calibri" w:hAnsi="Calibri" w:cs="Arial"/>
                <w:sz w:val="20"/>
                <w:szCs w:val="20"/>
              </w:rPr>
            </w:pPr>
            <w:r w:rsidRPr="00D51FFA">
              <w:rPr>
                <w:rFonts w:ascii="Calibri" w:hAnsi="Calibri" w:cs="Arial"/>
                <w:sz w:val="20"/>
                <w:szCs w:val="20"/>
              </w:rPr>
              <w:t>2 04</w:t>
            </w:r>
          </w:p>
        </w:tc>
        <w:tc>
          <w:tcPr>
            <w:tcW w:w="3118" w:type="dxa"/>
          </w:tcPr>
          <w:p w:rsidRPr="00D51FFA" w:rsidR="00D51FFA" w:rsidP="00D51FFA" w:rsidRDefault="00D51FFA" w14:paraId="739D489F" w14:textId="05E30504">
            <w:pPr>
              <w:rPr>
                <w:rFonts w:cstheme="minorHAnsi"/>
                <w:sz w:val="20"/>
                <w:szCs w:val="20"/>
              </w:rPr>
            </w:pPr>
            <w:r w:rsidRPr="00D51FFA">
              <w:rPr>
                <w:rFonts w:cstheme="minorHAnsi"/>
                <w:sz w:val="20"/>
                <w:szCs w:val="20"/>
              </w:rPr>
              <w:t>Jane Iddon, Quality Manager, Learning, Enhancement and Academic Practice (LEAP)</w:t>
            </w:r>
          </w:p>
        </w:tc>
        <w:tc>
          <w:tcPr>
            <w:tcW w:w="1701" w:type="dxa"/>
          </w:tcPr>
          <w:p w:rsidRPr="00D51FFA" w:rsidR="00D51FFA" w:rsidP="00D51FFA" w:rsidRDefault="00D51FFA" w14:paraId="73F7F91D" w14:textId="57D456D4">
            <w:pPr>
              <w:rPr>
                <w:rFonts w:ascii="Calibri" w:hAnsi="Calibri" w:cs="Arial"/>
                <w:sz w:val="20"/>
                <w:szCs w:val="20"/>
              </w:rPr>
            </w:pPr>
            <w:r w:rsidRPr="00D51FFA">
              <w:rPr>
                <w:rFonts w:ascii="Calibri" w:hAnsi="Calibri" w:cs="Arial"/>
                <w:sz w:val="20"/>
                <w:szCs w:val="20"/>
              </w:rPr>
              <w:t>April 2014, Housekeeping</w:t>
            </w:r>
          </w:p>
        </w:tc>
        <w:tc>
          <w:tcPr>
            <w:tcW w:w="3827" w:type="dxa"/>
          </w:tcPr>
          <w:p w:rsidRPr="00D51FFA" w:rsidR="00D51FFA" w:rsidP="00D51FFA" w:rsidRDefault="00D51FFA" w14:paraId="7FAA5118" w14:textId="033542C1">
            <w:pPr>
              <w:jc w:val="both"/>
              <w:rPr>
                <w:rFonts w:cs="Arial"/>
                <w:color w:val="000000"/>
                <w:sz w:val="20"/>
                <w:szCs w:val="20"/>
              </w:rPr>
            </w:pPr>
            <w:r w:rsidRPr="00D51FFA">
              <w:rPr>
                <w:rFonts w:cs="Arial"/>
                <w:sz w:val="20"/>
                <w:szCs w:val="20"/>
              </w:rPr>
              <w:t>Addition of an explanatory note (Reg 2a).</w:t>
            </w:r>
          </w:p>
          <w:p w:rsidRPr="00D51FFA" w:rsidR="00D51FFA" w:rsidP="00D51FFA" w:rsidRDefault="00D51FFA" w14:paraId="0B1CC965" w14:textId="77777777">
            <w:pPr>
              <w:jc w:val="both"/>
              <w:rPr>
                <w:rFonts w:cs="Arial"/>
                <w:bCs/>
                <w:sz w:val="20"/>
                <w:szCs w:val="20"/>
              </w:rPr>
            </w:pPr>
          </w:p>
        </w:tc>
      </w:tr>
      <w:tr w:rsidRPr="00D51FFA" w:rsidR="00D51FFA" w:rsidTr="00A52DA6" w14:paraId="366D38B6" w14:textId="77777777">
        <w:tc>
          <w:tcPr>
            <w:tcW w:w="988" w:type="dxa"/>
          </w:tcPr>
          <w:p w:rsidRPr="00D51FFA" w:rsidR="00D51FFA" w:rsidP="00D51FFA" w:rsidRDefault="00D51FFA" w14:paraId="18E5A5FD" w14:textId="76844450">
            <w:pPr>
              <w:rPr>
                <w:rFonts w:ascii="Calibri" w:hAnsi="Calibri" w:cs="Arial"/>
                <w:sz w:val="20"/>
                <w:szCs w:val="20"/>
              </w:rPr>
            </w:pPr>
            <w:r w:rsidRPr="00D51FFA">
              <w:rPr>
                <w:rFonts w:ascii="Calibri" w:hAnsi="Calibri" w:cs="Arial"/>
                <w:sz w:val="20"/>
                <w:szCs w:val="20"/>
              </w:rPr>
              <w:t>2 03</w:t>
            </w:r>
          </w:p>
        </w:tc>
        <w:tc>
          <w:tcPr>
            <w:tcW w:w="3118" w:type="dxa"/>
          </w:tcPr>
          <w:p w:rsidRPr="00D51FFA" w:rsidR="00D51FFA" w:rsidP="00D51FFA" w:rsidRDefault="00D51FFA" w14:paraId="3D1D99DA" w14:textId="672A9BEB">
            <w:pPr>
              <w:rPr>
                <w:rFonts w:cstheme="minorHAnsi"/>
                <w:sz w:val="20"/>
                <w:szCs w:val="20"/>
              </w:rPr>
            </w:pPr>
            <w:r w:rsidRPr="00D51FFA">
              <w:rPr>
                <w:rFonts w:cstheme="minorHAnsi"/>
                <w:sz w:val="20"/>
                <w:szCs w:val="20"/>
              </w:rPr>
              <w:t>Quality Officer</w:t>
            </w:r>
          </w:p>
        </w:tc>
        <w:tc>
          <w:tcPr>
            <w:tcW w:w="1701" w:type="dxa"/>
          </w:tcPr>
          <w:p w:rsidRPr="00D51FFA" w:rsidR="00D51FFA" w:rsidP="00D51FFA" w:rsidRDefault="00D51FFA" w14:paraId="33A4155A" w14:textId="41D0DEB9">
            <w:pPr>
              <w:rPr>
                <w:rFonts w:ascii="Calibri" w:hAnsi="Calibri" w:cs="Arial"/>
                <w:sz w:val="20"/>
                <w:szCs w:val="20"/>
              </w:rPr>
            </w:pPr>
            <w:r w:rsidRPr="00D51FFA">
              <w:rPr>
                <w:rFonts w:ascii="Calibri" w:hAnsi="Calibri" w:cs="Arial"/>
                <w:sz w:val="20"/>
                <w:szCs w:val="20"/>
              </w:rPr>
              <w:t>Nov 2013, Housekeeping</w:t>
            </w:r>
          </w:p>
        </w:tc>
        <w:tc>
          <w:tcPr>
            <w:tcW w:w="3827" w:type="dxa"/>
          </w:tcPr>
          <w:p w:rsidRPr="00D51FFA" w:rsidR="00D51FFA" w:rsidP="00D51FFA" w:rsidRDefault="00D51FFA" w14:paraId="38D3F510" w14:textId="68AC653A">
            <w:pPr>
              <w:rPr>
                <w:rFonts w:cs="Arial"/>
                <w:color w:val="000000"/>
                <w:sz w:val="20"/>
                <w:szCs w:val="20"/>
              </w:rPr>
            </w:pPr>
            <w:r w:rsidRPr="00D51FFA">
              <w:rPr>
                <w:rFonts w:cs="Arial"/>
                <w:sz w:val="20"/>
                <w:szCs w:val="20"/>
              </w:rPr>
              <w:t>Reg 2: the word ‘admitted’ has been replaced by the word ‘awarded’.</w:t>
            </w:r>
          </w:p>
        </w:tc>
      </w:tr>
      <w:tr w:rsidRPr="00D51FFA" w:rsidR="00D51FFA" w:rsidTr="00A52DA6" w14:paraId="5A25BF87" w14:textId="77777777">
        <w:tc>
          <w:tcPr>
            <w:tcW w:w="988" w:type="dxa"/>
          </w:tcPr>
          <w:p w:rsidRPr="00D51FFA" w:rsidR="00D51FFA" w:rsidP="00D51FFA" w:rsidRDefault="00D51FFA" w14:paraId="1725660D" w14:textId="79BEC6C1">
            <w:pPr>
              <w:rPr>
                <w:rFonts w:ascii="Calibri" w:hAnsi="Calibri" w:cs="Arial"/>
                <w:sz w:val="20"/>
                <w:szCs w:val="20"/>
              </w:rPr>
            </w:pPr>
            <w:r w:rsidRPr="00D51FFA">
              <w:rPr>
                <w:rFonts w:ascii="Calibri" w:hAnsi="Calibri" w:cs="Arial"/>
                <w:sz w:val="20"/>
                <w:szCs w:val="20"/>
              </w:rPr>
              <w:t>2 02</w:t>
            </w:r>
          </w:p>
        </w:tc>
        <w:tc>
          <w:tcPr>
            <w:tcW w:w="3118" w:type="dxa"/>
          </w:tcPr>
          <w:p w:rsidRPr="00D51FFA" w:rsidR="00D51FFA" w:rsidP="00D51FFA" w:rsidRDefault="00D51FFA" w14:paraId="10C8C296" w14:textId="68A0CB74">
            <w:pPr>
              <w:rPr>
                <w:rFonts w:cstheme="minorHAnsi"/>
                <w:sz w:val="20"/>
                <w:szCs w:val="20"/>
              </w:rPr>
            </w:pPr>
            <w:r w:rsidRPr="00D51FFA">
              <w:rPr>
                <w:rFonts w:cstheme="minorHAnsi"/>
                <w:sz w:val="20"/>
                <w:szCs w:val="20"/>
              </w:rPr>
              <w:t>Quality Officer</w:t>
            </w:r>
          </w:p>
        </w:tc>
        <w:tc>
          <w:tcPr>
            <w:tcW w:w="1701" w:type="dxa"/>
          </w:tcPr>
          <w:p w:rsidRPr="00D51FFA" w:rsidR="00D51FFA" w:rsidP="00D51FFA" w:rsidRDefault="00D51FFA" w14:paraId="00DDC15F" w14:textId="5F1F118A">
            <w:pPr>
              <w:rPr>
                <w:rFonts w:ascii="Calibri" w:hAnsi="Calibri" w:cs="Arial"/>
                <w:sz w:val="20"/>
                <w:szCs w:val="20"/>
              </w:rPr>
            </w:pPr>
            <w:r w:rsidRPr="00D51FFA">
              <w:rPr>
                <w:rFonts w:ascii="Calibri" w:hAnsi="Calibri" w:cs="Arial"/>
                <w:sz w:val="20"/>
                <w:szCs w:val="20"/>
              </w:rPr>
              <w:t>Sept 2013, Housekeeping</w:t>
            </w:r>
          </w:p>
        </w:tc>
        <w:tc>
          <w:tcPr>
            <w:tcW w:w="3827" w:type="dxa"/>
          </w:tcPr>
          <w:p w:rsidRPr="00D51FFA" w:rsidR="00D51FFA" w:rsidP="00D51FFA" w:rsidRDefault="00D51FFA" w14:paraId="49E73DD9" w14:textId="77777777">
            <w:pPr>
              <w:pStyle w:val="ListParagraph"/>
              <w:numPr>
                <w:ilvl w:val="0"/>
                <w:numId w:val="25"/>
              </w:numPr>
              <w:rPr>
                <w:rFonts w:cs="Arial"/>
                <w:sz w:val="20"/>
                <w:szCs w:val="20"/>
              </w:rPr>
            </w:pPr>
            <w:r w:rsidRPr="00D51FFA">
              <w:rPr>
                <w:rFonts w:cs="Arial"/>
                <w:sz w:val="20"/>
                <w:szCs w:val="20"/>
              </w:rPr>
              <w:t>Reg 12c excludes the bibliography from the thesis word count.</w:t>
            </w:r>
          </w:p>
          <w:p w:rsidRPr="00D51FFA" w:rsidR="00D51FFA" w:rsidP="00D51FFA" w:rsidRDefault="00D51FFA" w14:paraId="56501AEC" w14:textId="063A2179">
            <w:pPr>
              <w:pStyle w:val="ListParagraph"/>
              <w:numPr>
                <w:ilvl w:val="0"/>
                <w:numId w:val="25"/>
              </w:numPr>
              <w:rPr>
                <w:rFonts w:cs="Arial"/>
                <w:sz w:val="20"/>
                <w:szCs w:val="20"/>
              </w:rPr>
            </w:pPr>
            <w:r w:rsidRPr="00D51FFA">
              <w:rPr>
                <w:rFonts w:cs="Arial"/>
                <w:bCs/>
                <w:color w:val="000000"/>
                <w:sz w:val="20"/>
                <w:szCs w:val="20"/>
              </w:rPr>
              <w:t xml:space="preserve">Text added on extensions standard to RDP provision (para 15): candidates </w:t>
            </w:r>
            <w:r w:rsidRPr="00D51FFA">
              <w:rPr>
                <w:rFonts w:cs="Arial"/>
                <w:bCs/>
                <w:color w:val="000000"/>
                <w:sz w:val="20"/>
                <w:szCs w:val="20"/>
              </w:rPr>
              <w:lastRenderedPageBreak/>
              <w:t>may apply, using the approved application form available for the Graduate School, to the Research Degrees Committee, for an extension of up to one year.</w:t>
            </w:r>
          </w:p>
        </w:tc>
      </w:tr>
      <w:tr w:rsidRPr="00D51FFA" w:rsidR="00D51FFA" w:rsidTr="00A52DA6" w14:paraId="511D9B07" w14:textId="77777777">
        <w:tc>
          <w:tcPr>
            <w:tcW w:w="988" w:type="dxa"/>
          </w:tcPr>
          <w:p w:rsidRPr="00D51FFA" w:rsidR="00D51FFA" w:rsidP="00D51FFA" w:rsidRDefault="00D51FFA" w14:paraId="753183A5" w14:textId="784BA9CB">
            <w:pPr>
              <w:rPr>
                <w:rFonts w:ascii="Calibri" w:hAnsi="Calibri" w:cs="Arial"/>
                <w:sz w:val="20"/>
                <w:szCs w:val="20"/>
              </w:rPr>
            </w:pPr>
            <w:r w:rsidRPr="00D51FFA">
              <w:rPr>
                <w:rFonts w:ascii="Calibri" w:hAnsi="Calibri" w:cs="Arial"/>
                <w:sz w:val="20"/>
                <w:szCs w:val="20"/>
              </w:rPr>
              <w:lastRenderedPageBreak/>
              <w:t>2 01</w:t>
            </w:r>
          </w:p>
        </w:tc>
        <w:tc>
          <w:tcPr>
            <w:tcW w:w="3118" w:type="dxa"/>
          </w:tcPr>
          <w:p w:rsidRPr="00D51FFA" w:rsidR="00D51FFA" w:rsidP="00D51FFA" w:rsidRDefault="00D51FFA" w14:paraId="07943679" w14:textId="588FE269">
            <w:pPr>
              <w:rPr>
                <w:rFonts w:cstheme="minorHAnsi"/>
                <w:sz w:val="20"/>
                <w:szCs w:val="20"/>
              </w:rPr>
            </w:pPr>
            <w:r w:rsidRPr="00D51FFA">
              <w:rPr>
                <w:rFonts w:cstheme="minorHAnsi"/>
                <w:sz w:val="20"/>
                <w:szCs w:val="20"/>
              </w:rPr>
              <w:t>Quality Officer</w:t>
            </w:r>
          </w:p>
        </w:tc>
        <w:tc>
          <w:tcPr>
            <w:tcW w:w="1701" w:type="dxa"/>
          </w:tcPr>
          <w:p w:rsidRPr="00D51FFA" w:rsidR="00D51FFA" w:rsidP="00D51FFA" w:rsidRDefault="00252D4C" w14:paraId="5BFA783A" w14:textId="3413A115">
            <w:pPr>
              <w:rPr>
                <w:rFonts w:ascii="Calibri" w:hAnsi="Calibri" w:cs="Arial"/>
                <w:sz w:val="20"/>
                <w:szCs w:val="20"/>
              </w:rPr>
            </w:pPr>
            <w:r>
              <w:rPr>
                <w:rFonts w:ascii="Calibri" w:hAnsi="Calibri" w:cs="Arial"/>
                <w:sz w:val="20"/>
                <w:szCs w:val="20"/>
              </w:rPr>
              <w:t xml:space="preserve">July </w:t>
            </w:r>
            <w:r w:rsidRPr="00D51FFA" w:rsidR="00D51FFA">
              <w:rPr>
                <w:rFonts w:ascii="Calibri" w:hAnsi="Calibri" w:cs="Arial"/>
                <w:sz w:val="20"/>
                <w:szCs w:val="20"/>
              </w:rPr>
              <w:t>2013, Housekeeping</w:t>
            </w:r>
          </w:p>
        </w:tc>
        <w:tc>
          <w:tcPr>
            <w:tcW w:w="3827" w:type="dxa"/>
          </w:tcPr>
          <w:p w:rsidRPr="00D51FFA" w:rsidR="00D51FFA" w:rsidP="00D51FFA" w:rsidRDefault="00D51FFA" w14:paraId="1734685A" w14:textId="77777777">
            <w:pPr>
              <w:pStyle w:val="ListParagraph"/>
              <w:numPr>
                <w:ilvl w:val="0"/>
                <w:numId w:val="27"/>
              </w:numPr>
              <w:rPr>
                <w:rFonts w:cs="Arial"/>
                <w:b/>
                <w:sz w:val="20"/>
                <w:szCs w:val="20"/>
              </w:rPr>
            </w:pPr>
            <w:r w:rsidRPr="00D51FFA">
              <w:rPr>
                <w:rFonts w:cs="Arial"/>
                <w:sz w:val="20"/>
                <w:szCs w:val="20"/>
              </w:rPr>
              <w:t>Removes grey shading.</w:t>
            </w:r>
          </w:p>
          <w:p w:rsidRPr="00D51FFA" w:rsidR="00D51FFA" w:rsidP="00D51FFA" w:rsidRDefault="00D51FFA" w14:paraId="19B6D0DA" w14:textId="77777777">
            <w:pPr>
              <w:pStyle w:val="ListParagraph"/>
              <w:numPr>
                <w:ilvl w:val="0"/>
                <w:numId w:val="27"/>
              </w:numPr>
              <w:rPr>
                <w:rFonts w:cs="Arial"/>
                <w:b/>
                <w:sz w:val="20"/>
                <w:szCs w:val="20"/>
              </w:rPr>
            </w:pPr>
            <w:r w:rsidRPr="00D51FFA">
              <w:rPr>
                <w:rFonts w:cs="Arial"/>
                <w:sz w:val="20"/>
                <w:szCs w:val="20"/>
              </w:rPr>
              <w:t>Removes references among explanatory notes to former regulations and regulation numbers.</w:t>
            </w:r>
          </w:p>
          <w:p w:rsidRPr="00D51FFA" w:rsidR="00D51FFA" w:rsidP="00D51FFA" w:rsidRDefault="00D51FFA" w14:paraId="32E332B8" w14:textId="0A2DA2A4">
            <w:pPr>
              <w:pStyle w:val="ListParagraph"/>
              <w:numPr>
                <w:ilvl w:val="0"/>
                <w:numId w:val="27"/>
              </w:numPr>
              <w:rPr>
                <w:rFonts w:cs="Arial"/>
                <w:b/>
                <w:sz w:val="20"/>
                <w:szCs w:val="20"/>
              </w:rPr>
            </w:pPr>
            <w:r w:rsidRPr="00D51FFA">
              <w:rPr>
                <w:rFonts w:cs="Arial"/>
                <w:sz w:val="20"/>
                <w:szCs w:val="20"/>
              </w:rPr>
              <w:t>Adds text on extensions standard to RDP provision (para 15)</w:t>
            </w:r>
          </w:p>
        </w:tc>
      </w:tr>
      <w:tr w:rsidRPr="00D51FFA" w:rsidR="00D51FFA" w:rsidTr="00A52DA6" w14:paraId="5FCC8B7B" w14:textId="77777777">
        <w:tc>
          <w:tcPr>
            <w:tcW w:w="988" w:type="dxa"/>
          </w:tcPr>
          <w:p w:rsidRPr="00D51FFA" w:rsidR="00D51FFA" w:rsidP="00D51FFA" w:rsidRDefault="00D51FFA" w14:paraId="77D141BE" w14:textId="56E67852">
            <w:pPr>
              <w:rPr>
                <w:rFonts w:ascii="Calibri" w:hAnsi="Calibri" w:cs="Arial"/>
                <w:sz w:val="20"/>
                <w:szCs w:val="20"/>
              </w:rPr>
            </w:pPr>
            <w:r w:rsidRPr="00D51FFA">
              <w:rPr>
                <w:rFonts w:ascii="Calibri" w:hAnsi="Calibri" w:cs="Arial"/>
                <w:sz w:val="20"/>
                <w:szCs w:val="20"/>
              </w:rPr>
              <w:t>2 00</w:t>
            </w:r>
          </w:p>
        </w:tc>
        <w:tc>
          <w:tcPr>
            <w:tcW w:w="3118" w:type="dxa"/>
          </w:tcPr>
          <w:p w:rsidRPr="00D51FFA" w:rsidR="00D51FFA" w:rsidP="00D51FFA" w:rsidRDefault="00D51FFA" w14:paraId="31D40CF0" w14:textId="213F331C">
            <w:pPr>
              <w:rPr>
                <w:rFonts w:cstheme="minorHAnsi"/>
                <w:sz w:val="20"/>
                <w:szCs w:val="20"/>
              </w:rPr>
            </w:pPr>
            <w:r w:rsidRPr="00D51FFA">
              <w:rPr>
                <w:rFonts w:cstheme="minorHAnsi"/>
                <w:sz w:val="20"/>
                <w:szCs w:val="20"/>
              </w:rPr>
              <w:t>Quality Officer</w:t>
            </w:r>
          </w:p>
        </w:tc>
        <w:tc>
          <w:tcPr>
            <w:tcW w:w="1701" w:type="dxa"/>
          </w:tcPr>
          <w:p w:rsidRPr="00D51FFA" w:rsidR="00D51FFA" w:rsidP="00D51FFA" w:rsidRDefault="00252D4C" w14:paraId="2F0110DB" w14:textId="1A337C4A">
            <w:pPr>
              <w:rPr>
                <w:rFonts w:ascii="Calibri" w:hAnsi="Calibri" w:cs="Arial"/>
                <w:sz w:val="20"/>
                <w:szCs w:val="20"/>
              </w:rPr>
            </w:pPr>
            <w:r>
              <w:rPr>
                <w:rFonts w:ascii="Calibri" w:hAnsi="Calibri" w:cs="Arial"/>
                <w:sz w:val="20"/>
                <w:szCs w:val="20"/>
              </w:rPr>
              <w:t xml:space="preserve">Feb </w:t>
            </w:r>
            <w:r w:rsidRPr="00D51FFA" w:rsidR="00D51FFA">
              <w:rPr>
                <w:rFonts w:ascii="Calibri" w:hAnsi="Calibri" w:cs="Arial"/>
                <w:sz w:val="20"/>
                <w:szCs w:val="20"/>
              </w:rPr>
              <w:t>2011, Senate</w:t>
            </w:r>
          </w:p>
        </w:tc>
        <w:tc>
          <w:tcPr>
            <w:tcW w:w="3827" w:type="dxa"/>
          </w:tcPr>
          <w:p w:rsidRPr="00D51FFA" w:rsidR="00D51FFA" w:rsidP="00D51FFA" w:rsidRDefault="00D51FFA" w14:paraId="405A04FE" w14:textId="28677695">
            <w:pPr>
              <w:numPr>
                <w:ilvl w:val="0"/>
                <w:numId w:val="28"/>
              </w:numPr>
              <w:rPr>
                <w:rFonts w:cs="Arial"/>
                <w:sz w:val="20"/>
                <w:szCs w:val="20"/>
              </w:rPr>
            </w:pPr>
            <w:r w:rsidRPr="00D51FFA">
              <w:rPr>
                <w:rFonts w:cs="Arial"/>
                <w:sz w:val="20"/>
                <w:szCs w:val="20"/>
              </w:rPr>
              <w:t>Is part of a review of the entirety of Regulations governing Research Degree Provision</w:t>
            </w:r>
            <w:r>
              <w:rPr>
                <w:rFonts w:cs="Arial"/>
                <w:sz w:val="20"/>
                <w:szCs w:val="20"/>
              </w:rPr>
              <w:t>.</w:t>
            </w:r>
          </w:p>
          <w:p w:rsidRPr="00D51FFA" w:rsidR="00D51FFA" w:rsidP="00D51FFA" w:rsidRDefault="00D51FFA" w14:paraId="587E5F76" w14:textId="243CEA41">
            <w:pPr>
              <w:numPr>
                <w:ilvl w:val="0"/>
                <w:numId w:val="28"/>
              </w:numPr>
              <w:rPr>
                <w:rFonts w:cs="Arial"/>
                <w:sz w:val="20"/>
                <w:szCs w:val="20"/>
              </w:rPr>
            </w:pPr>
            <w:r w:rsidRPr="00D51FFA">
              <w:rPr>
                <w:rFonts w:cs="Arial"/>
                <w:sz w:val="20"/>
                <w:szCs w:val="20"/>
              </w:rPr>
              <w:t>Introduces explanatory notes under many of the Regulations and cross references the Regulations to each other</w:t>
            </w:r>
            <w:r>
              <w:rPr>
                <w:rFonts w:cs="Arial"/>
                <w:sz w:val="20"/>
                <w:szCs w:val="20"/>
              </w:rPr>
              <w:t>.</w:t>
            </w:r>
          </w:p>
          <w:p w:rsidRPr="00D51FFA" w:rsidR="00D51FFA" w:rsidP="00D51FFA" w:rsidRDefault="00D51FFA" w14:paraId="03210DE2" w14:textId="4FF374F6">
            <w:pPr>
              <w:numPr>
                <w:ilvl w:val="0"/>
                <w:numId w:val="28"/>
              </w:numPr>
              <w:rPr>
                <w:rFonts w:cs="Arial"/>
                <w:sz w:val="20"/>
                <w:szCs w:val="20"/>
              </w:rPr>
            </w:pPr>
            <w:r w:rsidRPr="00D51FFA">
              <w:rPr>
                <w:rFonts w:cs="Arial"/>
                <w:sz w:val="20"/>
                <w:szCs w:val="20"/>
              </w:rPr>
              <w:t>Draws upon the QAA FHEQ</w:t>
            </w:r>
            <w:r>
              <w:rPr>
                <w:rFonts w:cs="Arial"/>
                <w:sz w:val="20"/>
                <w:szCs w:val="20"/>
              </w:rPr>
              <w:t>.</w:t>
            </w:r>
          </w:p>
          <w:p w:rsidRPr="00D51FFA" w:rsidR="00D51FFA" w:rsidP="00D51FFA" w:rsidRDefault="00D51FFA" w14:paraId="56F067D7" w14:textId="5A5C233E">
            <w:pPr>
              <w:numPr>
                <w:ilvl w:val="0"/>
                <w:numId w:val="28"/>
              </w:numPr>
              <w:rPr>
                <w:rFonts w:cs="Arial"/>
                <w:sz w:val="20"/>
                <w:szCs w:val="20"/>
              </w:rPr>
            </w:pPr>
            <w:r w:rsidRPr="00D51FFA">
              <w:rPr>
                <w:rFonts w:cs="Arial"/>
                <w:sz w:val="20"/>
                <w:szCs w:val="20"/>
              </w:rPr>
              <w:t>Acknowledges changes in the University Committee structure, Pass-Fail modules, intercalation, interim awards following withdrawal, operations of the Mitigating Circumstances Committee and Termination of programme procedures (</w:t>
            </w:r>
            <w:proofErr w:type="gramStart"/>
            <w:r w:rsidRPr="00D51FFA">
              <w:rPr>
                <w:rFonts w:cs="Arial"/>
                <w:sz w:val="20"/>
                <w:szCs w:val="20"/>
              </w:rPr>
              <w:t>QH:L</w:t>
            </w:r>
            <w:proofErr w:type="gramEnd"/>
            <w:r w:rsidRPr="00D51FFA">
              <w:rPr>
                <w:rFonts w:cs="Arial"/>
                <w:sz w:val="20"/>
                <w:szCs w:val="20"/>
              </w:rPr>
              <w:t>04).</w:t>
            </w: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5BD50" w14:textId="77777777" w:rsidR="008D3381" w:rsidRDefault="008D3381" w:rsidP="00B93213">
      <w:pPr>
        <w:spacing w:after="0" w:line="240" w:lineRule="auto"/>
      </w:pPr>
      <w:r>
        <w:separator/>
      </w:r>
    </w:p>
  </w:endnote>
  <w:endnote w:type="continuationSeparator" w:id="0">
    <w:p w14:paraId="516A46D6" w14:textId="77777777" w:rsidR="008D3381" w:rsidRDefault="008D3381"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062641AA" w:rsidR="008C2C31" w:rsidRDefault="007902FA" w:rsidP="001F2BED">
        <w:pPr>
          <w:pStyle w:val="Footer"/>
          <w:rPr>
            <w:sz w:val="18"/>
            <w:szCs w:val="18"/>
          </w:rPr>
        </w:pPr>
        <w:r>
          <w:rPr>
            <w:sz w:val="18"/>
            <w:szCs w:val="18"/>
          </w:rPr>
          <w:t>Psy</w:t>
        </w:r>
        <w:r w:rsidR="0009392E">
          <w:rPr>
            <w:sz w:val="18"/>
            <w:szCs w:val="18"/>
          </w:rPr>
          <w:t>D</w:t>
        </w:r>
        <w:r w:rsidR="008C2C31">
          <w:rPr>
            <w:sz w:val="18"/>
            <w:szCs w:val="18"/>
          </w:rPr>
          <w:t xml:space="preserve"> by Thesis</w:t>
        </w:r>
      </w:p>
    </w:sdtContent>
  </w:sdt>
  <w:sdt>
    <w:sdtPr>
      <w:rPr>
        <w:sz w:val="18"/>
        <w:szCs w:val="18"/>
      </w:rPr>
      <w:id w:val="-933977766"/>
      <w:lock w:val="sdtLocked"/>
      <w:placeholder>
        <w:docPart w:val="B8DAD9981C7546E2B1C618FD55696EDF"/>
      </w:placeholder>
      <w:text/>
    </w:sdtPr>
    <w:sdtEndPr/>
    <w:sdtContent>
      <w:p w14:paraId="0027C0DF" w14:textId="33B93567" w:rsidR="008C2C31" w:rsidRDefault="00987411" w:rsidP="001F2BED">
        <w:pPr>
          <w:pStyle w:val="Footer"/>
          <w:rPr>
            <w:sz w:val="18"/>
            <w:szCs w:val="18"/>
          </w:rPr>
        </w:pPr>
        <w:r>
          <w:rPr>
            <w:sz w:val="18"/>
            <w:szCs w:val="18"/>
          </w:rPr>
          <w:t>Doctoral College</w:t>
        </w:r>
        <w:r w:rsidR="008C2C31">
          <w:rPr>
            <w:sz w:val="18"/>
            <w:szCs w:val="18"/>
          </w:rPr>
          <w:t>/Registry Services</w:t>
        </w:r>
      </w:p>
    </w:sdtContent>
  </w:sdt>
  <w:p w14:paraId="00C2D5D0" w14:textId="5E734908" w:rsidR="008C2C31" w:rsidRPr="00364621" w:rsidRDefault="00F92B40"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725DC7">
          <w:rPr>
            <w:sz w:val="18"/>
            <w:szCs w:val="18"/>
          </w:rPr>
          <w:t>V2 11, September 2025</w:t>
        </w:r>
      </w:sdtContent>
    </w:sdt>
    <w:r w:rsidR="008C2C31">
      <w:rPr>
        <w:sz w:val="18"/>
        <w:szCs w:val="18"/>
      </w:rPr>
      <w:tab/>
    </w:r>
    <w:r w:rsidR="008C2C31">
      <w:rPr>
        <w:sz w:val="18"/>
        <w:szCs w:val="18"/>
      </w:rPr>
      <w:tab/>
    </w:r>
    <w:sdt>
      <w:sdtPr>
        <w:id w:val="-1592310296"/>
        <w:docPartObj>
          <w:docPartGallery w:val="Page Numbers (Bottom of Page)"/>
          <w:docPartUnique/>
        </w:docPartObj>
      </w:sdtPr>
      <w:sdtEndPr>
        <w:rPr>
          <w:noProof/>
          <w:sz w:val="18"/>
          <w:szCs w:val="18"/>
        </w:rPr>
      </w:sdtEndPr>
      <w:sdtContent>
        <w:r w:rsidR="008C2C31" w:rsidRPr="00BE2156">
          <w:rPr>
            <w:sz w:val="18"/>
            <w:szCs w:val="18"/>
          </w:rPr>
          <w:fldChar w:fldCharType="begin"/>
        </w:r>
        <w:r w:rsidR="008C2C31" w:rsidRPr="00BE2156">
          <w:rPr>
            <w:sz w:val="18"/>
            <w:szCs w:val="18"/>
          </w:rPr>
          <w:instrText xml:space="preserve"> PAGE   \* MERGEFORMAT </w:instrText>
        </w:r>
        <w:r w:rsidR="008C2C31" w:rsidRPr="00BE2156">
          <w:rPr>
            <w:sz w:val="18"/>
            <w:szCs w:val="18"/>
          </w:rPr>
          <w:fldChar w:fldCharType="separate"/>
        </w:r>
        <w:r w:rsidR="00987411">
          <w:rPr>
            <w:noProof/>
            <w:sz w:val="18"/>
            <w:szCs w:val="18"/>
          </w:rPr>
          <w:t>11</w:t>
        </w:r>
        <w:r w:rsidR="008C2C31"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5C29B3AA" w:rsidR="008C2C31" w:rsidRPr="00D92F00" w:rsidRDefault="008C2C31"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95D0C" w14:textId="77777777" w:rsidR="008D3381" w:rsidRDefault="008D3381" w:rsidP="00B93213">
      <w:pPr>
        <w:spacing w:after="0" w:line="240" w:lineRule="auto"/>
      </w:pPr>
      <w:r>
        <w:separator/>
      </w:r>
    </w:p>
  </w:footnote>
  <w:footnote w:type="continuationSeparator" w:id="0">
    <w:p w14:paraId="079B7203" w14:textId="77777777" w:rsidR="008D3381" w:rsidRDefault="008D3381"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439C" w14:textId="3F8E29DA" w:rsidR="008C2C31" w:rsidRDefault="00C05255">
    <w:pPr>
      <w:pStyle w:val="Header"/>
    </w:pPr>
    <w:r>
      <w:rPr>
        <w:rFonts w:ascii="Calibri" w:hAnsi="Calibri"/>
        <w:noProof/>
        <w:color w:val="0E1647"/>
        <w:sz w:val="28"/>
        <w:szCs w:val="28"/>
      </w:rPr>
      <w:drawing>
        <wp:anchor distT="0" distB="0" distL="114300" distR="114300" simplePos="0" relativeHeight="251670527" behindDoc="0" locked="0" layoutInCell="1" allowOverlap="1" wp14:anchorId="0AC3B728" wp14:editId="3FD30255">
          <wp:simplePos x="0" y="0"/>
          <wp:positionH relativeFrom="page">
            <wp:posOffset>6252762</wp:posOffset>
          </wp:positionH>
          <wp:positionV relativeFrom="paragraph">
            <wp:posOffset>-250080</wp:posOffset>
          </wp:positionV>
          <wp:extent cx="1260000" cy="552218"/>
          <wp:effectExtent l="0" t="0" r="0" b="0"/>
          <wp:wrapNone/>
          <wp:docPr id="130570798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p w14:paraId="02C2A5AC" w14:textId="4B03AA47" w:rsidR="008C2C31" w:rsidRDefault="008C2C31">
    <w:pPr>
      <w:pStyle w:val="Header"/>
    </w:pPr>
  </w:p>
  <w:p w14:paraId="005A5D7A" w14:textId="7114A1C0" w:rsidR="008C2C31" w:rsidRDefault="00F3585F">
    <w:pPr>
      <w:pStyle w:val="Header"/>
    </w:pPr>
    <w:r>
      <w:rPr>
        <w:noProof/>
        <w:color w:val="0E1647"/>
        <w:sz w:val="20"/>
        <w:szCs w:val="20"/>
      </w:rPr>
      <w:drawing>
        <wp:anchor distT="0" distB="0" distL="114300" distR="114300" simplePos="0" relativeHeight="251668479" behindDoc="1" locked="0" layoutInCell="1" allowOverlap="1" wp14:anchorId="0949AF88" wp14:editId="27623EC9">
          <wp:simplePos x="0" y="0"/>
          <wp:positionH relativeFrom="page">
            <wp:posOffset>1431781</wp:posOffset>
          </wp:positionH>
          <wp:positionV relativeFrom="paragraph">
            <wp:posOffset>3778614</wp:posOffset>
          </wp:positionV>
          <wp:extent cx="10901836" cy="1356360"/>
          <wp:effectExtent l="0" t="8890" r="5080" b="5080"/>
          <wp:wrapNone/>
          <wp:docPr id="173762353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02826" cy="13564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351DD727" w:rsidR="008C2C31" w:rsidRDefault="006F664C" w:rsidP="006F664C">
    <w:pPr>
      <w:pStyle w:val="Header"/>
      <w:ind w:left="-284"/>
    </w:pPr>
    <w:r>
      <w:rPr>
        <w:noProof/>
      </w:rPr>
      <w:drawing>
        <wp:anchor distT="0" distB="0" distL="114300" distR="114300" simplePos="0" relativeHeight="251666431" behindDoc="0" locked="0" layoutInCell="1" allowOverlap="1" wp14:anchorId="0008832F" wp14:editId="0D599A21">
          <wp:simplePos x="0" y="0"/>
          <wp:positionH relativeFrom="margin">
            <wp:posOffset>-96741</wp:posOffset>
          </wp:positionH>
          <wp:positionV relativeFrom="page">
            <wp:posOffset>87464</wp:posOffset>
          </wp:positionV>
          <wp:extent cx="2102694" cy="1008000"/>
          <wp:effectExtent l="0" t="0" r="0" b="0"/>
          <wp:wrapNone/>
          <wp:docPr id="1206001787"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6DF">
      <w:rPr>
        <w:noProof/>
      </w:rPr>
      <w:drawing>
        <wp:anchor distT="0" distB="0" distL="114300" distR="114300" simplePos="0" relativeHeight="251664383" behindDoc="1" locked="1" layoutInCell="1" allowOverlap="1" wp14:anchorId="7F64613B" wp14:editId="283A569C">
          <wp:simplePos x="0" y="0"/>
          <wp:positionH relativeFrom="margin">
            <wp:posOffset>-882650</wp:posOffset>
          </wp:positionH>
          <wp:positionV relativeFrom="page">
            <wp:align>top</wp:align>
          </wp:positionV>
          <wp:extent cx="7559675" cy="1017270"/>
          <wp:effectExtent l="0" t="0" r="3175" b="0"/>
          <wp:wrapNone/>
          <wp:docPr id="890405555"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87216" cy="10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CE8"/>
    <w:multiLevelType w:val="hybridMultilevel"/>
    <w:tmpl w:val="9C82B93E"/>
    <w:lvl w:ilvl="0" w:tplc="EFE496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22601F"/>
    <w:multiLevelType w:val="hybridMultilevel"/>
    <w:tmpl w:val="55ECB0A2"/>
    <w:lvl w:ilvl="0" w:tplc="A574EF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BC4069"/>
    <w:multiLevelType w:val="hybridMultilevel"/>
    <w:tmpl w:val="65EC84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6805BC"/>
    <w:multiLevelType w:val="hybridMultilevel"/>
    <w:tmpl w:val="4E1E3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E47712"/>
    <w:multiLevelType w:val="hybridMultilevel"/>
    <w:tmpl w:val="FFA4D7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E508D"/>
    <w:multiLevelType w:val="hybridMultilevel"/>
    <w:tmpl w:val="66C4DF18"/>
    <w:lvl w:ilvl="0" w:tplc="08090001">
      <w:start w:val="1"/>
      <w:numFmt w:val="bullet"/>
      <w:lvlText w:val=""/>
      <w:lvlJc w:val="left"/>
      <w:pPr>
        <w:ind w:left="720" w:hanging="360"/>
      </w:pPr>
      <w:rPr>
        <w:rFonts w:ascii="Symbol" w:hAnsi="Symbol" w:hint="default"/>
      </w:rPr>
    </w:lvl>
    <w:lvl w:ilvl="1" w:tplc="4768B78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067AD"/>
    <w:multiLevelType w:val="hybridMultilevel"/>
    <w:tmpl w:val="5144FA4E"/>
    <w:lvl w:ilvl="0" w:tplc="08090001">
      <w:start w:val="1"/>
      <w:numFmt w:val="bullet"/>
      <w:lvlText w:val=""/>
      <w:lvlJc w:val="left"/>
      <w:pPr>
        <w:ind w:left="720" w:hanging="360"/>
      </w:pPr>
      <w:rPr>
        <w:rFonts w:ascii="Symbol" w:hAnsi="Symbol" w:hint="default"/>
      </w:rPr>
    </w:lvl>
    <w:lvl w:ilvl="1" w:tplc="10FCF32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24062"/>
    <w:multiLevelType w:val="hybridMultilevel"/>
    <w:tmpl w:val="63B48606"/>
    <w:lvl w:ilvl="0" w:tplc="1ECCD3D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D776626"/>
    <w:multiLevelType w:val="hybridMultilevel"/>
    <w:tmpl w:val="BCFA5B7C"/>
    <w:lvl w:ilvl="0" w:tplc="B080B3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DD15A42"/>
    <w:multiLevelType w:val="hybridMultilevel"/>
    <w:tmpl w:val="ABB26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1561F9"/>
    <w:multiLevelType w:val="hybridMultilevel"/>
    <w:tmpl w:val="B990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C6BBE"/>
    <w:multiLevelType w:val="hybridMultilevel"/>
    <w:tmpl w:val="6254886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44815627"/>
    <w:multiLevelType w:val="hybridMultilevel"/>
    <w:tmpl w:val="E2A0B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04169B"/>
    <w:multiLevelType w:val="hybridMultilevel"/>
    <w:tmpl w:val="D5E8B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4417D9"/>
    <w:multiLevelType w:val="hybridMultilevel"/>
    <w:tmpl w:val="7DF22A5A"/>
    <w:lvl w:ilvl="0" w:tplc="FFFFFFFF">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3E256DF"/>
    <w:multiLevelType w:val="hybridMultilevel"/>
    <w:tmpl w:val="72AEFC8A"/>
    <w:lvl w:ilvl="0" w:tplc="DF7E6E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58F09C4"/>
    <w:multiLevelType w:val="hybridMultilevel"/>
    <w:tmpl w:val="CC08FDD2"/>
    <w:lvl w:ilvl="0" w:tplc="FFFFFFFF">
      <w:start w:val="1"/>
      <w:numFmt w:val="bullet"/>
      <w:lvlText w:val=""/>
      <w:lvlJc w:val="left"/>
      <w:pPr>
        <w:tabs>
          <w:tab w:val="num" w:pos="397"/>
        </w:tabs>
        <w:ind w:left="39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CB73043"/>
    <w:multiLevelType w:val="hybridMultilevel"/>
    <w:tmpl w:val="DA881B18"/>
    <w:lvl w:ilvl="0" w:tplc="8402C9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F0A45FE"/>
    <w:multiLevelType w:val="hybridMultilevel"/>
    <w:tmpl w:val="B66A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685F19"/>
    <w:multiLevelType w:val="hybridMultilevel"/>
    <w:tmpl w:val="0538B3E0"/>
    <w:lvl w:ilvl="0" w:tplc="8F3432B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91F0F49"/>
    <w:multiLevelType w:val="hybridMultilevel"/>
    <w:tmpl w:val="0F5E030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4" w15:restartNumberingAfterBreak="0">
    <w:nsid w:val="6CD914E8"/>
    <w:multiLevelType w:val="hybridMultilevel"/>
    <w:tmpl w:val="B15E17CC"/>
    <w:lvl w:ilvl="0" w:tplc="0A8E4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2A1489B"/>
    <w:multiLevelType w:val="hybridMultilevel"/>
    <w:tmpl w:val="D9BEEAD8"/>
    <w:lvl w:ilvl="0" w:tplc="6AE442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5EC2157"/>
    <w:multiLevelType w:val="hybridMultilevel"/>
    <w:tmpl w:val="66E49ADE"/>
    <w:lvl w:ilvl="0" w:tplc="BE3EF28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DEA3FAB"/>
    <w:multiLevelType w:val="multilevel"/>
    <w:tmpl w:val="26640ED4"/>
    <w:lvl w:ilvl="0">
      <w:start w:val="1"/>
      <w:numFmt w:val="decimal"/>
      <w:pStyle w:val="Heading1"/>
      <w:lvlText w:val="%1."/>
      <w:lvlJc w:val="left"/>
      <w:pPr>
        <w:ind w:left="822" w:hanging="680"/>
      </w:pPr>
      <w:rPr>
        <w:rFonts w:hint="default"/>
      </w:rPr>
    </w:lvl>
    <w:lvl w:ilvl="1">
      <w:start w:val="1"/>
      <w:numFmt w:val="decimal"/>
      <w:pStyle w:val="numberedmainbody"/>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893660822">
    <w:abstractNumId w:val="27"/>
  </w:num>
  <w:num w:numId="2" w16cid:durableId="1059862769">
    <w:abstractNumId w:val="24"/>
  </w:num>
  <w:num w:numId="3" w16cid:durableId="1441681344">
    <w:abstractNumId w:val="16"/>
  </w:num>
  <w:num w:numId="4" w16cid:durableId="326901641">
    <w:abstractNumId w:val="9"/>
  </w:num>
  <w:num w:numId="5" w16cid:durableId="1350526235">
    <w:abstractNumId w:val="18"/>
  </w:num>
  <w:num w:numId="6" w16cid:durableId="421610916">
    <w:abstractNumId w:val="1"/>
  </w:num>
  <w:num w:numId="7" w16cid:durableId="1830898373">
    <w:abstractNumId w:val="25"/>
  </w:num>
  <w:num w:numId="8" w16cid:durableId="26373063">
    <w:abstractNumId w:val="26"/>
  </w:num>
  <w:num w:numId="9" w16cid:durableId="1130168829">
    <w:abstractNumId w:val="8"/>
  </w:num>
  <w:num w:numId="10" w16cid:durableId="1958489880">
    <w:abstractNumId w:val="23"/>
  </w:num>
  <w:num w:numId="11" w16cid:durableId="1886982642">
    <w:abstractNumId w:val="7"/>
  </w:num>
  <w:num w:numId="12" w16cid:durableId="1578124486">
    <w:abstractNumId w:val="19"/>
  </w:num>
  <w:num w:numId="13" w16cid:durableId="1851291792">
    <w:abstractNumId w:val="6"/>
  </w:num>
  <w:num w:numId="14" w16cid:durableId="578367793">
    <w:abstractNumId w:val="20"/>
  </w:num>
  <w:num w:numId="15" w16cid:durableId="1162820705">
    <w:abstractNumId w:val="0"/>
  </w:num>
  <w:num w:numId="16" w16cid:durableId="138763586">
    <w:abstractNumId w:val="22"/>
  </w:num>
  <w:num w:numId="17" w16cid:durableId="536888732">
    <w:abstractNumId w:val="12"/>
  </w:num>
  <w:num w:numId="18" w16cid:durableId="162163818">
    <w:abstractNumId w:val="4"/>
  </w:num>
  <w:num w:numId="19" w16cid:durableId="213739742">
    <w:abstractNumId w:val="21"/>
  </w:num>
  <w:num w:numId="20" w16cid:durableId="1854613632">
    <w:abstractNumId w:val="3"/>
  </w:num>
  <w:num w:numId="21" w16cid:durableId="859930179">
    <w:abstractNumId w:val="11"/>
  </w:num>
  <w:num w:numId="22" w16cid:durableId="1816992503">
    <w:abstractNumId w:val="14"/>
  </w:num>
  <w:num w:numId="23" w16cid:durableId="2107383376">
    <w:abstractNumId w:val="5"/>
  </w:num>
  <w:num w:numId="24" w16cid:durableId="137399286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3753155">
    <w:abstractNumId w:val="13"/>
  </w:num>
  <w:num w:numId="26" w16cid:durableId="1745569139">
    <w:abstractNumId w:val="2"/>
  </w:num>
  <w:num w:numId="27" w16cid:durableId="1230464017">
    <w:abstractNumId w:val="10"/>
  </w:num>
  <w:num w:numId="28" w16cid:durableId="77263170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168"/>
    <w:rsid w:val="00012BE5"/>
    <w:rsid w:val="00033FAA"/>
    <w:rsid w:val="000367A6"/>
    <w:rsid w:val="00036C44"/>
    <w:rsid w:val="00044ADB"/>
    <w:rsid w:val="000516BC"/>
    <w:rsid w:val="0005565E"/>
    <w:rsid w:val="000608E5"/>
    <w:rsid w:val="000614BC"/>
    <w:rsid w:val="00064FA6"/>
    <w:rsid w:val="0006580E"/>
    <w:rsid w:val="0007234A"/>
    <w:rsid w:val="0007587D"/>
    <w:rsid w:val="00075E62"/>
    <w:rsid w:val="00076638"/>
    <w:rsid w:val="0008359E"/>
    <w:rsid w:val="00084C19"/>
    <w:rsid w:val="00086ACC"/>
    <w:rsid w:val="00090301"/>
    <w:rsid w:val="0009168A"/>
    <w:rsid w:val="0009295C"/>
    <w:rsid w:val="0009392E"/>
    <w:rsid w:val="0009775E"/>
    <w:rsid w:val="000A31AA"/>
    <w:rsid w:val="000A5CC4"/>
    <w:rsid w:val="000B095F"/>
    <w:rsid w:val="000B6E03"/>
    <w:rsid w:val="000C0EA7"/>
    <w:rsid w:val="000D2A3C"/>
    <w:rsid w:val="000D6F96"/>
    <w:rsid w:val="000E495E"/>
    <w:rsid w:val="000E70D3"/>
    <w:rsid w:val="000F07B2"/>
    <w:rsid w:val="000F3811"/>
    <w:rsid w:val="00100BD9"/>
    <w:rsid w:val="0010316C"/>
    <w:rsid w:val="0011063A"/>
    <w:rsid w:val="001228D6"/>
    <w:rsid w:val="00126C23"/>
    <w:rsid w:val="001343EE"/>
    <w:rsid w:val="001368F4"/>
    <w:rsid w:val="00137F6F"/>
    <w:rsid w:val="00142844"/>
    <w:rsid w:val="00146C91"/>
    <w:rsid w:val="00147726"/>
    <w:rsid w:val="001503E4"/>
    <w:rsid w:val="0015499A"/>
    <w:rsid w:val="00165927"/>
    <w:rsid w:val="0016743B"/>
    <w:rsid w:val="00191ACC"/>
    <w:rsid w:val="001972EE"/>
    <w:rsid w:val="001A700C"/>
    <w:rsid w:val="001B474F"/>
    <w:rsid w:val="001B4CC8"/>
    <w:rsid w:val="001D62C3"/>
    <w:rsid w:val="001F10F7"/>
    <w:rsid w:val="001F15CC"/>
    <w:rsid w:val="001F2BED"/>
    <w:rsid w:val="001F3577"/>
    <w:rsid w:val="00204096"/>
    <w:rsid w:val="002050F8"/>
    <w:rsid w:val="002064B6"/>
    <w:rsid w:val="0020693E"/>
    <w:rsid w:val="002203EA"/>
    <w:rsid w:val="00223717"/>
    <w:rsid w:val="002261D1"/>
    <w:rsid w:val="00240BD3"/>
    <w:rsid w:val="0024277D"/>
    <w:rsid w:val="00250ECE"/>
    <w:rsid w:val="00252D4C"/>
    <w:rsid w:val="00266406"/>
    <w:rsid w:val="00266D14"/>
    <w:rsid w:val="00273BC2"/>
    <w:rsid w:val="00284A7F"/>
    <w:rsid w:val="0029153B"/>
    <w:rsid w:val="00293EB9"/>
    <w:rsid w:val="002A5D0F"/>
    <w:rsid w:val="002B0483"/>
    <w:rsid w:val="002B60AD"/>
    <w:rsid w:val="002E01C0"/>
    <w:rsid w:val="002E6FFE"/>
    <w:rsid w:val="002F1E02"/>
    <w:rsid w:val="002F36B6"/>
    <w:rsid w:val="002F4507"/>
    <w:rsid w:val="002F6127"/>
    <w:rsid w:val="00303EE6"/>
    <w:rsid w:val="0030708D"/>
    <w:rsid w:val="0031671A"/>
    <w:rsid w:val="0032511D"/>
    <w:rsid w:val="00336060"/>
    <w:rsid w:val="00336D44"/>
    <w:rsid w:val="00342265"/>
    <w:rsid w:val="00355328"/>
    <w:rsid w:val="00362DA3"/>
    <w:rsid w:val="00364621"/>
    <w:rsid w:val="0037498D"/>
    <w:rsid w:val="00383903"/>
    <w:rsid w:val="00383EE7"/>
    <w:rsid w:val="0038718B"/>
    <w:rsid w:val="003A0127"/>
    <w:rsid w:val="003A1BD2"/>
    <w:rsid w:val="003B001A"/>
    <w:rsid w:val="003B2AAB"/>
    <w:rsid w:val="003B300F"/>
    <w:rsid w:val="003B54A2"/>
    <w:rsid w:val="003B558A"/>
    <w:rsid w:val="003C3821"/>
    <w:rsid w:val="003D05A7"/>
    <w:rsid w:val="003D372A"/>
    <w:rsid w:val="003D50AD"/>
    <w:rsid w:val="003D543B"/>
    <w:rsid w:val="003E747B"/>
    <w:rsid w:val="00401C70"/>
    <w:rsid w:val="00410F9D"/>
    <w:rsid w:val="004348D1"/>
    <w:rsid w:val="00435AAE"/>
    <w:rsid w:val="00443F8D"/>
    <w:rsid w:val="0044745F"/>
    <w:rsid w:val="00457569"/>
    <w:rsid w:val="004A3A3F"/>
    <w:rsid w:val="004A651B"/>
    <w:rsid w:val="004B146F"/>
    <w:rsid w:val="004B3AE8"/>
    <w:rsid w:val="004B4973"/>
    <w:rsid w:val="004B68C6"/>
    <w:rsid w:val="004C5176"/>
    <w:rsid w:val="004C6297"/>
    <w:rsid w:val="004C694E"/>
    <w:rsid w:val="004E1D58"/>
    <w:rsid w:val="004E44B0"/>
    <w:rsid w:val="00501703"/>
    <w:rsid w:val="00513D59"/>
    <w:rsid w:val="005176E9"/>
    <w:rsid w:val="00522FE1"/>
    <w:rsid w:val="00523BCD"/>
    <w:rsid w:val="00532548"/>
    <w:rsid w:val="00542BCD"/>
    <w:rsid w:val="00544272"/>
    <w:rsid w:val="005503CC"/>
    <w:rsid w:val="00552C38"/>
    <w:rsid w:val="00560A55"/>
    <w:rsid w:val="00560E25"/>
    <w:rsid w:val="00562523"/>
    <w:rsid w:val="00562C6A"/>
    <w:rsid w:val="00580259"/>
    <w:rsid w:val="005819E2"/>
    <w:rsid w:val="0058702A"/>
    <w:rsid w:val="00590316"/>
    <w:rsid w:val="00591267"/>
    <w:rsid w:val="005A1C27"/>
    <w:rsid w:val="005A6998"/>
    <w:rsid w:val="005B666F"/>
    <w:rsid w:val="005C025E"/>
    <w:rsid w:val="005C7F4B"/>
    <w:rsid w:val="005D0872"/>
    <w:rsid w:val="005D758F"/>
    <w:rsid w:val="005F1374"/>
    <w:rsid w:val="005F305C"/>
    <w:rsid w:val="005F46D3"/>
    <w:rsid w:val="00604415"/>
    <w:rsid w:val="00615550"/>
    <w:rsid w:val="00615DF6"/>
    <w:rsid w:val="00616569"/>
    <w:rsid w:val="00617924"/>
    <w:rsid w:val="00622221"/>
    <w:rsid w:val="0062307E"/>
    <w:rsid w:val="00623634"/>
    <w:rsid w:val="00625934"/>
    <w:rsid w:val="006327E3"/>
    <w:rsid w:val="0063750A"/>
    <w:rsid w:val="00644DAC"/>
    <w:rsid w:val="006500B5"/>
    <w:rsid w:val="006525B9"/>
    <w:rsid w:val="0065405C"/>
    <w:rsid w:val="0066060C"/>
    <w:rsid w:val="00667329"/>
    <w:rsid w:val="006701E3"/>
    <w:rsid w:val="00680727"/>
    <w:rsid w:val="0068721E"/>
    <w:rsid w:val="006B2A0A"/>
    <w:rsid w:val="006B2C42"/>
    <w:rsid w:val="006C57EC"/>
    <w:rsid w:val="006E1683"/>
    <w:rsid w:val="006F062C"/>
    <w:rsid w:val="006F0F63"/>
    <w:rsid w:val="006F664C"/>
    <w:rsid w:val="00704FE7"/>
    <w:rsid w:val="0070794F"/>
    <w:rsid w:val="00710A5C"/>
    <w:rsid w:val="00716B13"/>
    <w:rsid w:val="00721A18"/>
    <w:rsid w:val="00721E57"/>
    <w:rsid w:val="00723833"/>
    <w:rsid w:val="00725DC7"/>
    <w:rsid w:val="0072715E"/>
    <w:rsid w:val="00727183"/>
    <w:rsid w:val="007424DA"/>
    <w:rsid w:val="00747486"/>
    <w:rsid w:val="00751C82"/>
    <w:rsid w:val="00755DC9"/>
    <w:rsid w:val="00765F84"/>
    <w:rsid w:val="007722C2"/>
    <w:rsid w:val="00773CC4"/>
    <w:rsid w:val="00781240"/>
    <w:rsid w:val="00784325"/>
    <w:rsid w:val="007902FA"/>
    <w:rsid w:val="0079129A"/>
    <w:rsid w:val="007A0277"/>
    <w:rsid w:val="007B193C"/>
    <w:rsid w:val="007B3005"/>
    <w:rsid w:val="007B51BA"/>
    <w:rsid w:val="007C1FEB"/>
    <w:rsid w:val="007D4234"/>
    <w:rsid w:val="007D456D"/>
    <w:rsid w:val="007E75AF"/>
    <w:rsid w:val="007F5E30"/>
    <w:rsid w:val="008004F0"/>
    <w:rsid w:val="00801ABB"/>
    <w:rsid w:val="00801FFB"/>
    <w:rsid w:val="00822365"/>
    <w:rsid w:val="00844DB0"/>
    <w:rsid w:val="0087565F"/>
    <w:rsid w:val="008A24D4"/>
    <w:rsid w:val="008A6779"/>
    <w:rsid w:val="008C2C31"/>
    <w:rsid w:val="008D3381"/>
    <w:rsid w:val="008D4541"/>
    <w:rsid w:val="008E79B5"/>
    <w:rsid w:val="008F1CA5"/>
    <w:rsid w:val="008F2463"/>
    <w:rsid w:val="008F62B4"/>
    <w:rsid w:val="009020C6"/>
    <w:rsid w:val="00916886"/>
    <w:rsid w:val="00936E32"/>
    <w:rsid w:val="0094561A"/>
    <w:rsid w:val="00955C59"/>
    <w:rsid w:val="00963F24"/>
    <w:rsid w:val="00966661"/>
    <w:rsid w:val="00966DEC"/>
    <w:rsid w:val="0098217A"/>
    <w:rsid w:val="0098688D"/>
    <w:rsid w:val="00987411"/>
    <w:rsid w:val="00997382"/>
    <w:rsid w:val="009A3345"/>
    <w:rsid w:val="009C131D"/>
    <w:rsid w:val="009C3AB3"/>
    <w:rsid w:val="009C4FDE"/>
    <w:rsid w:val="009D74E9"/>
    <w:rsid w:val="009E3063"/>
    <w:rsid w:val="009E3F43"/>
    <w:rsid w:val="009E7A37"/>
    <w:rsid w:val="009F20A5"/>
    <w:rsid w:val="00A01DD0"/>
    <w:rsid w:val="00A43187"/>
    <w:rsid w:val="00A43969"/>
    <w:rsid w:val="00A43B28"/>
    <w:rsid w:val="00A501DE"/>
    <w:rsid w:val="00A64B92"/>
    <w:rsid w:val="00A70AA4"/>
    <w:rsid w:val="00A77CAA"/>
    <w:rsid w:val="00A811AD"/>
    <w:rsid w:val="00A873B3"/>
    <w:rsid w:val="00A92FE5"/>
    <w:rsid w:val="00A94725"/>
    <w:rsid w:val="00A965E6"/>
    <w:rsid w:val="00AA0FCF"/>
    <w:rsid w:val="00AB02EF"/>
    <w:rsid w:val="00AB5284"/>
    <w:rsid w:val="00AB5DF0"/>
    <w:rsid w:val="00AB5F7C"/>
    <w:rsid w:val="00AF26DF"/>
    <w:rsid w:val="00AF48FB"/>
    <w:rsid w:val="00B1616D"/>
    <w:rsid w:val="00B206A6"/>
    <w:rsid w:val="00B230A8"/>
    <w:rsid w:val="00B23175"/>
    <w:rsid w:val="00B23C55"/>
    <w:rsid w:val="00B2407D"/>
    <w:rsid w:val="00B34018"/>
    <w:rsid w:val="00B340D9"/>
    <w:rsid w:val="00B40189"/>
    <w:rsid w:val="00B50A1E"/>
    <w:rsid w:val="00B5128C"/>
    <w:rsid w:val="00B63D21"/>
    <w:rsid w:val="00B67349"/>
    <w:rsid w:val="00B71030"/>
    <w:rsid w:val="00B724D6"/>
    <w:rsid w:val="00B740F0"/>
    <w:rsid w:val="00B757DB"/>
    <w:rsid w:val="00B845D2"/>
    <w:rsid w:val="00B85178"/>
    <w:rsid w:val="00B91F68"/>
    <w:rsid w:val="00B93213"/>
    <w:rsid w:val="00B938AF"/>
    <w:rsid w:val="00B970CE"/>
    <w:rsid w:val="00BA29B8"/>
    <w:rsid w:val="00BA6378"/>
    <w:rsid w:val="00BB08BF"/>
    <w:rsid w:val="00BB2C9F"/>
    <w:rsid w:val="00BD0404"/>
    <w:rsid w:val="00BD39D7"/>
    <w:rsid w:val="00BE2156"/>
    <w:rsid w:val="00BE6734"/>
    <w:rsid w:val="00BF176A"/>
    <w:rsid w:val="00C03F4D"/>
    <w:rsid w:val="00C05255"/>
    <w:rsid w:val="00C10622"/>
    <w:rsid w:val="00C23D9F"/>
    <w:rsid w:val="00C26EAA"/>
    <w:rsid w:val="00C33123"/>
    <w:rsid w:val="00C4243B"/>
    <w:rsid w:val="00C53C2E"/>
    <w:rsid w:val="00C557E3"/>
    <w:rsid w:val="00C64EEA"/>
    <w:rsid w:val="00C65652"/>
    <w:rsid w:val="00C72650"/>
    <w:rsid w:val="00C72AD9"/>
    <w:rsid w:val="00C772E4"/>
    <w:rsid w:val="00C809C2"/>
    <w:rsid w:val="00C8400B"/>
    <w:rsid w:val="00C840D6"/>
    <w:rsid w:val="00C87A9A"/>
    <w:rsid w:val="00CA0AF7"/>
    <w:rsid w:val="00CA611C"/>
    <w:rsid w:val="00CB411E"/>
    <w:rsid w:val="00CB4F3E"/>
    <w:rsid w:val="00CB566C"/>
    <w:rsid w:val="00CB6FB1"/>
    <w:rsid w:val="00CD0EF5"/>
    <w:rsid w:val="00CD7921"/>
    <w:rsid w:val="00CE07EB"/>
    <w:rsid w:val="00CE165A"/>
    <w:rsid w:val="00CE2B97"/>
    <w:rsid w:val="00CE6E0B"/>
    <w:rsid w:val="00D24747"/>
    <w:rsid w:val="00D37442"/>
    <w:rsid w:val="00D40529"/>
    <w:rsid w:val="00D448AB"/>
    <w:rsid w:val="00D51FFA"/>
    <w:rsid w:val="00D650AF"/>
    <w:rsid w:val="00D70650"/>
    <w:rsid w:val="00D70832"/>
    <w:rsid w:val="00D74202"/>
    <w:rsid w:val="00D74261"/>
    <w:rsid w:val="00D758D6"/>
    <w:rsid w:val="00D86D8F"/>
    <w:rsid w:val="00D92F00"/>
    <w:rsid w:val="00D941D5"/>
    <w:rsid w:val="00DB168D"/>
    <w:rsid w:val="00DB45F7"/>
    <w:rsid w:val="00DC3099"/>
    <w:rsid w:val="00DD1815"/>
    <w:rsid w:val="00DE0E2F"/>
    <w:rsid w:val="00DE7DE6"/>
    <w:rsid w:val="00E022A8"/>
    <w:rsid w:val="00E137B8"/>
    <w:rsid w:val="00E14979"/>
    <w:rsid w:val="00E36D4A"/>
    <w:rsid w:val="00E44F98"/>
    <w:rsid w:val="00E70655"/>
    <w:rsid w:val="00E70DFD"/>
    <w:rsid w:val="00E72032"/>
    <w:rsid w:val="00E80912"/>
    <w:rsid w:val="00E9096A"/>
    <w:rsid w:val="00E96752"/>
    <w:rsid w:val="00E967DE"/>
    <w:rsid w:val="00E974E4"/>
    <w:rsid w:val="00EB0FC0"/>
    <w:rsid w:val="00EB17E4"/>
    <w:rsid w:val="00EB20C7"/>
    <w:rsid w:val="00EC1599"/>
    <w:rsid w:val="00EC2CDE"/>
    <w:rsid w:val="00EC4B8F"/>
    <w:rsid w:val="00ED39EB"/>
    <w:rsid w:val="00EE7735"/>
    <w:rsid w:val="00EF4ADA"/>
    <w:rsid w:val="00F01270"/>
    <w:rsid w:val="00F07131"/>
    <w:rsid w:val="00F24D55"/>
    <w:rsid w:val="00F3034B"/>
    <w:rsid w:val="00F3585F"/>
    <w:rsid w:val="00F4191D"/>
    <w:rsid w:val="00F5060F"/>
    <w:rsid w:val="00F530EA"/>
    <w:rsid w:val="00F56FEA"/>
    <w:rsid w:val="00F601D7"/>
    <w:rsid w:val="00F63B6F"/>
    <w:rsid w:val="00F65878"/>
    <w:rsid w:val="00F70AE5"/>
    <w:rsid w:val="00F74467"/>
    <w:rsid w:val="00F82F67"/>
    <w:rsid w:val="00F84992"/>
    <w:rsid w:val="00F9136C"/>
    <w:rsid w:val="00F92B40"/>
    <w:rsid w:val="00FA4EAC"/>
    <w:rsid w:val="00FA6B94"/>
    <w:rsid w:val="00FB5CFC"/>
    <w:rsid w:val="00FB76E6"/>
    <w:rsid w:val="00FD53A3"/>
    <w:rsid w:val="00FD7549"/>
    <w:rsid w:val="00FE7B97"/>
    <w:rsid w:val="00FF1A6C"/>
    <w:rsid w:val="00FF2DC7"/>
    <w:rsid w:val="00FF32A8"/>
    <w:rsid w:val="00FF4F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1"/>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1"/>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paragraph" w:styleId="Revision">
    <w:name w:val="Revision"/>
    <w:hidden/>
    <w:uiPriority w:val="99"/>
    <w:semiHidden/>
    <w:rsid w:val="00C72A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licy@hull.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ll.ac.uk/choose-hull/university-and-region/key-documents/qual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441778CDCFB040C796E3170B4CBC6BD0"/>
        <w:category>
          <w:name w:val="General"/>
          <w:gallery w:val="placeholder"/>
        </w:category>
        <w:types>
          <w:type w:val="bbPlcHdr"/>
        </w:types>
        <w:behaviors>
          <w:behavior w:val="content"/>
        </w:behaviors>
        <w:guid w:val="{2B511276-6336-4447-9535-E36D3AB326B1}"/>
      </w:docPartPr>
      <w:docPartBody>
        <w:p w:rsidR="00632E27" w:rsidRDefault="00442214" w:rsidP="00442214">
          <w:pPr>
            <w:pStyle w:val="441778CDCFB040C796E3170B4CBC6BD08"/>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B107E"/>
    <w:rsid w:val="00133EF5"/>
    <w:rsid w:val="00313897"/>
    <w:rsid w:val="00385545"/>
    <w:rsid w:val="00442214"/>
    <w:rsid w:val="00456829"/>
    <w:rsid w:val="00477FCD"/>
    <w:rsid w:val="004862D4"/>
    <w:rsid w:val="004C5176"/>
    <w:rsid w:val="00560530"/>
    <w:rsid w:val="00632E27"/>
    <w:rsid w:val="008E096F"/>
    <w:rsid w:val="009E68D1"/>
    <w:rsid w:val="00A873B3"/>
    <w:rsid w:val="00AE1D6A"/>
    <w:rsid w:val="00D70650"/>
    <w:rsid w:val="00DB7F63"/>
    <w:rsid w:val="00EB2C63"/>
    <w:rsid w:val="00FB76E6"/>
    <w:rsid w:val="00FF2D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214"/>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441778CDCFB040C796E3170B4CBC6BD08">
    <w:name w:val="441778CDCFB040C796E3170B4CBC6BD08"/>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xsi:nil="true"/>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AR7E3Z44KX3W-614910397-513</_dlc_DocId>
    <_dlc_DocIdUrl xmlns="585c7e12-cd2e-474b-aebe-d6ef31f74e10">
      <Url>https://share.hull.ac.uk/Services/Governance/_layouts/15/DocIdRedir.aspx?ID=AR7E3Z44KX3W-614910397-513</Url>
      <Description>AR7E3Z44KX3W-614910397-513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24E19-F4DD-4996-A3B3-1B6E37600D5A}">
  <ds:schemaRefs>
    <ds:schemaRef ds:uri="http://schemas.microsoft.com/sharepoint/events"/>
  </ds:schemaRefs>
</ds:datastoreItem>
</file>

<file path=customXml/itemProps2.xml><?xml version="1.0" encoding="utf-8"?>
<ds:datastoreItem xmlns:ds="http://schemas.openxmlformats.org/officeDocument/2006/customXml" ds:itemID="{360BE8A3-41E7-4DB1-8213-691A3356038C}">
  <ds:schemaRefs>
    <ds:schemaRef ds:uri="http://schemas.microsoft.com/office/2006/metadata/properties"/>
    <ds:schemaRef ds:uri="http://schemas.microsoft.com/office/infopath/2007/PartnerControls"/>
    <ds:schemaRef ds:uri="ae372f39-011e-4940-9b7a-e0bb9fd919d7"/>
    <ds:schemaRef ds:uri="http://schemas.microsoft.com/sharepoint/v4"/>
    <ds:schemaRef ds:uri="585c7e12-cd2e-474b-aebe-d6ef31f74e10"/>
  </ds:schemaRefs>
</ds:datastoreItem>
</file>

<file path=customXml/itemProps3.xml><?xml version="1.0" encoding="utf-8"?>
<ds:datastoreItem xmlns:ds="http://schemas.openxmlformats.org/officeDocument/2006/customXml" ds:itemID="{1638FCDD-6530-4AB8-BFBF-D027584402B4}">
  <ds:schemaRefs>
    <ds:schemaRef ds:uri="http://schemas.microsoft.com/sharepoint/v3/contenttype/forms"/>
  </ds:schemaRefs>
</ds:datastoreItem>
</file>

<file path=customXml/itemProps4.xml><?xml version="1.0" encoding="utf-8"?>
<ds:datastoreItem xmlns:ds="http://schemas.openxmlformats.org/officeDocument/2006/customXml" ds:itemID="{48A678BF-FD1A-4C7F-BEC4-57AC63E27F33}">
  <ds:schemaRefs>
    <ds:schemaRef ds:uri="http://schemas.openxmlformats.org/officeDocument/2006/bibliography"/>
  </ds:schemaRefs>
</ds:datastoreItem>
</file>

<file path=customXml/itemProps5.xml><?xml version="1.0" encoding="utf-8"?>
<ds:datastoreItem xmlns:ds="http://schemas.openxmlformats.org/officeDocument/2006/customXml" ds:itemID="{9CA00017-DA99-4E57-BE8A-5539A6060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12</Pages>
  <Words>3903</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Document template - regulations</vt:lpstr>
    </vt:vector>
  </TitlesOfParts>
  <Company>University of Hull</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psyd-by-thesis-v2-11-for-sept-25</dc:title>
  <dc:subject>
  </dc:subject>
  <dc:creator>Katie J Skilton</dc:creator>
  <cp:keywords>
  </cp:keywords>
  <dc:description>
  </dc:description>
  <cp:lastModifiedBy>lisa Tees</cp:lastModifiedBy>
  <cp:revision>115</cp:revision>
  <cp:lastPrinted>2018-01-15T16:18:00Z</cp:lastPrinted>
  <dcterms:created xsi:type="dcterms:W3CDTF">2021-10-15T11:32:00Z</dcterms:created>
  <dcterms:modified xsi:type="dcterms:W3CDTF">2025-09-10T13:07:14Z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e8295fd1-d5bc-49b8-9811-7d1b337c6324</vt:lpwstr>
  </property>
</Properties>
</file>