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0CC" w:rsidRDefault="00B930CC" w14:paraId="57F0C7AB" w14:textId="77777777"/>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3C4347" w:rsidRDefault="00E42E5E" w14:paraId="441537AB" w14:textId="46AFDA3B">
                <w:pPr>
                  <w:spacing w:before="40" w:after="40"/>
                  <w:jc w:val="center"/>
                  <w:rPr>
                    <w:rFonts w:ascii="Calibri" w:hAnsi="Calibri"/>
                    <w:b w:val="0"/>
                    <w:bCs w:val="0"/>
                    <w:sz w:val="28"/>
                    <w:szCs w:val="28"/>
                  </w:rPr>
                </w:pPr>
                <w:r>
                  <w:rPr>
                    <w:rFonts w:ascii="Calibri" w:hAnsi="Calibri"/>
                    <w:sz w:val="28"/>
                    <w:szCs w:val="28"/>
                  </w:rPr>
                  <w:t xml:space="preserve">Policy on Postgraduate Research Graduate Teaching Assistants </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4CC9385B" w14:textId="77777777">
            <w:pPr>
              <w:spacing w:before="40" w:after="40"/>
              <w:jc w:val="center"/>
              <w:rPr>
                <w:rFonts w:ascii="Calibri" w:hAnsi="Calibri"/>
                <w:sz w:val="28"/>
                <w:szCs w:val="28"/>
              </w:rPr>
            </w:pPr>
          </w:p>
          <w:p w:rsidR="00B930CC" w:rsidP="00580259" w:rsidRDefault="00B930CC" w14:paraId="57A724CB" w14:textId="4A201B6E">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63DA0634" w14:textId="471B9E47">
            <w:pPr>
              <w:spacing w:before="40" w:after="40"/>
              <w:rPr>
                <w:rFonts w:ascii="Calibri" w:hAnsi="Calibri"/>
                <w:b w:val="0"/>
                <w:sz w:val="20"/>
                <w:szCs w:val="20"/>
              </w:rPr>
            </w:pPr>
            <w:r w:rsidRPr="00795C1A">
              <w:rPr>
                <w:rFonts w:ascii="Calibri" w:hAnsi="Calibri"/>
                <w:sz w:val="20"/>
                <w:szCs w:val="20"/>
              </w:rPr>
              <w:t>Classification:</w:t>
            </w:r>
          </w:p>
        </w:tc>
        <w:sdt>
          <w:sdtPr>
            <w:rPr>
              <w:rFonts w:ascii="Calibri" w:hAnsi="Calibri"/>
              <w:b/>
              <w:bCs/>
              <w:sz w:val="20"/>
              <w:szCs w:val="20"/>
            </w:rPr>
            <w:id w:val="1008022754"/>
            <w:lock w:val="sdtLocked"/>
            <w:placeholder>
              <w:docPart w:val="3AC3D1EDCC8F47A4ADF03CD3E2865C75"/>
            </w:placeholder>
            <w:dropDownList>
              <w:listItem w:displayText="Policy" w:value="Policy"/>
              <w:listItem w:displayText="Procedure" w:value="Procedure"/>
              <w:listItem w:displayText="Code of Conduct" w:value="Code of Conduct"/>
            </w:dropDownList>
          </w:sdtPr>
          <w:sdtEndPr/>
          <w:sdtContent>
            <w:tc>
              <w:tcPr>
                <w:tcW w:w="6946" w:type="dxa"/>
                <w:shd w:val="clear" w:color="auto" w:fill="auto"/>
              </w:tcPr>
              <w:p w:rsidRPr="0098217A" w:rsidR="00B93213" w:rsidP="00562C6A" w:rsidRDefault="00C71EE6" w14:paraId="3E2CEE3B" w14:textId="2280B30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Pr>
                    <w:rFonts w:ascii="Calibri" w:hAnsi="Calibri"/>
                    <w:b/>
                    <w:bCs/>
                    <w:sz w:val="20"/>
                    <w:szCs w:val="20"/>
                  </w:rPr>
                  <w:t>Policy</w:t>
                </w:r>
              </w:p>
            </w:tc>
          </w:sdtContent>
        </w:sdt>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3A7189" w14:paraId="40376BAB" w14:textId="44D5A7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2</w:t>
                </w:r>
                <w:r w:rsidR="007F59A1">
                  <w:rPr>
                    <w:rFonts w:ascii="Calibri" w:hAnsi="Calibri"/>
                    <w:sz w:val="20"/>
                    <w:szCs w:val="20"/>
                  </w:rPr>
                  <w:t xml:space="preserve"> 00</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7B15A4" w14:paraId="1B520532" w14:textId="1F5723A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2E6FFE" w:rsidRDefault="007B15A4" w14:paraId="4C836476" w14:textId="42685D2A">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781240" w:rsidRDefault="003A7189" w14:paraId="01BC3F01" w14:textId="6A5C99BB">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w:t>
                </w:r>
                <w:r w:rsidR="007B15A4">
                  <w:rPr>
                    <w:rFonts w:ascii="Calibri" w:hAnsi="Calibri"/>
                    <w:sz w:val="20"/>
                    <w:szCs w:val="20"/>
                  </w:rPr>
                  <w:t>/</w:t>
                </w:r>
                <w:r>
                  <w:rPr>
                    <w:rFonts w:ascii="Calibri" w:hAnsi="Calibri"/>
                    <w:sz w:val="20"/>
                    <w:szCs w:val="20"/>
                  </w:rPr>
                  <w:t>07</w:t>
                </w:r>
                <w:r w:rsidR="007B15A4">
                  <w:rPr>
                    <w:rFonts w:ascii="Calibri" w:hAnsi="Calibri"/>
                    <w:sz w:val="20"/>
                    <w:szCs w:val="20"/>
                  </w:rPr>
                  <w:t>/202</w:t>
                </w:r>
                <w:r>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3A7189" w14:paraId="4B9731B5" w14:textId="0979C67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w:t>
                </w:r>
                <w:r w:rsidR="007B15A4">
                  <w:rPr>
                    <w:rFonts w:ascii="Calibri" w:hAnsi="Calibri"/>
                    <w:sz w:val="20"/>
                    <w:szCs w:val="20"/>
                  </w:rPr>
                  <w:t>/</w:t>
                </w:r>
                <w:r>
                  <w:rPr>
                    <w:rFonts w:ascii="Calibri" w:hAnsi="Calibri"/>
                    <w:sz w:val="20"/>
                    <w:szCs w:val="20"/>
                  </w:rPr>
                  <w:t>09</w:t>
                </w:r>
                <w:r w:rsidR="007B15A4">
                  <w:rPr>
                    <w:rFonts w:ascii="Calibri" w:hAnsi="Calibri"/>
                    <w:sz w:val="20"/>
                    <w:szCs w:val="20"/>
                  </w:rPr>
                  <w:t>/202</w:t>
                </w:r>
                <w:r>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8-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3A7189" w14:paraId="7E61A690" w14:textId="13D73A4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01/09/2028</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6B2C42" w:rsidRDefault="003A7189" w14:paraId="52F7977B" w14:textId="5B89D60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4F02C643">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D92F00" w:rsidRDefault="00BE30B0" w14:paraId="34A4D006" w14:textId="415BE123">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A87A3E">
                  <w:rPr>
                    <w:rFonts w:ascii="Calibri" w:hAnsi="Calibri"/>
                    <w:sz w:val="20"/>
                    <w:szCs w:val="20"/>
                  </w:rPr>
                  <w:t>Doctoral College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D92F00" w:rsidRDefault="00A87A3E" w14:paraId="4998D8DD" w14:textId="5FEA278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62C6A" w:rsidRDefault="00B93213" w14:paraId="457654CC"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Please state whether this document is applicable to the university’s collaborative partners:</w:t>
            </w:r>
          </w:p>
          <w:p w:rsidRPr="00795C1A" w:rsidR="00B93213" w:rsidP="00D92F00" w:rsidRDefault="00B93213" w14:paraId="7E072BF9" w14:textId="3FC55CA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Not mandatory</w:t>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id w:val="-880247332"/>
            <w:lock w:val="sdtLocked"/>
            <w:placeholder>
              <w:docPart w:val="F59A23A122CC4B5FAEDA979880BE5BA0"/>
            </w:placeholder>
            <w:text/>
          </w:sdtPr>
          <w:sdtEndPr/>
          <w:sdtContent>
            <w:tc>
              <w:tcPr>
                <w:tcW w:w="6946" w:type="dxa"/>
                <w:shd w:val="clear" w:color="auto" w:fill="auto"/>
              </w:tcPr>
              <w:p w:rsidRPr="00954614" w:rsidR="00B93213" w:rsidP="002E6FFE" w:rsidRDefault="00376DB0" w14:paraId="50E9F400" w14:textId="77B1F492">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76DB0">
                  <w:t>Quality Assurance Agency UK’s Quality Code for Higher Education 2018, Code of Practice on Assessment Procedures, Code of Practice for Research Degrees: Termination of Candidature, Code of Practice Postgraduate Research Students</w:t>
                </w:r>
                <w:r w:rsidR="005826D9">
                  <w:t xml:space="preserve"> and Employment of Postgraduate Researchers </w:t>
                </w:r>
                <w:r w:rsidR="00B12018">
                  <w:t xml:space="preserve">who Teach </w:t>
                </w:r>
                <w:r w:rsidR="00B83677">
                  <w:t xml:space="preserve">Policy.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sdt>
          <w:sdtPr>
            <w:rPr>
              <w:rFonts w:ascii="Calibri" w:hAnsi="Calibri"/>
              <w:sz w:val="20"/>
              <w:szCs w:val="20"/>
            </w:rPr>
            <w:id w:val="1912337761"/>
            <w:lock w:val="sdtLocked"/>
            <w:placeholder>
              <w:docPart w:val="A6FE8F20E48D412CAB9D9862572EC7D3"/>
            </w:placeholder>
            <w:text/>
          </w:sdtPr>
          <w:sdtEndPr/>
          <w:sdtContent>
            <w:tc>
              <w:tcPr>
                <w:tcW w:w="6946" w:type="dxa"/>
                <w:shd w:val="clear" w:color="auto" w:fill="auto"/>
              </w:tcPr>
              <w:p w:rsidRPr="00795C1A" w:rsidR="00B93213" w:rsidP="002E6FFE" w:rsidRDefault="007F59A1" w14:paraId="1A383E72" w14:textId="6294B23E">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59A1">
                  <w:rPr>
                    <w:rFonts w:ascii="Calibri" w:hAnsi="Calibri"/>
                    <w:sz w:val="20"/>
                    <w:szCs w:val="20"/>
                  </w:rPr>
                  <w:t>https://www.hull.ac.uk/choose-hull/university-and-region/key-documents/quality</w:t>
                </w:r>
                <w:r>
                  <w:rPr>
                    <w:rFonts w:ascii="Calibri" w:hAnsi="Calibri"/>
                    <w:sz w:val="20"/>
                    <w:szCs w:val="20"/>
                  </w:rPr>
                  <w:t xml:space="preserve"> </w:t>
                </w:r>
              </w:p>
            </w:tc>
          </w:sdtContent>
        </w:sdt>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705725FC">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68445465"/>
              <w:lock w:val="sdtLocked"/>
              <w:placeholder>
                <w:docPart w:val="EF4EE6CA913F4578AB0E03B445A60254"/>
              </w:placeholder>
            </w:sdtPr>
            <w:sdtEndPr/>
            <w:sdtContent>
              <w:sdt>
                <w:sdtPr>
                  <w:rPr>
                    <w:rFonts w:ascii="Calibri" w:hAnsi="Calibri"/>
                    <w:sz w:val="28"/>
                    <w:szCs w:val="28"/>
                  </w:rPr>
                  <w:id w:val="-1981674205"/>
                  <w:placeholder>
                    <w:docPart w:val="B68645DDE8764F57B56A7B4B2E493586"/>
                  </w:placeholder>
                </w:sdtPr>
                <w:sdtEndPr/>
                <w:sdtContent>
                  <w:p w:rsidRPr="00680727" w:rsidR="00680727" w:rsidP="00A83A08" w:rsidRDefault="00A83A08" w14:paraId="756EC18C" w14:textId="29E0C2FB">
                    <w:pPr>
                      <w:spacing w:before="40" w:after="40"/>
                      <w:jc w:val="center"/>
                      <w:rPr>
                        <w:rFonts w:ascii="Calibri" w:hAnsi="Calibri"/>
                        <w:sz w:val="28"/>
                        <w:szCs w:val="28"/>
                      </w:rPr>
                    </w:pPr>
                    <w:r>
                      <w:rPr>
                        <w:rFonts w:ascii="Calibri" w:hAnsi="Calibri"/>
                        <w:sz w:val="28"/>
                        <w:szCs w:val="28"/>
                      </w:rPr>
                      <w:t xml:space="preserve">Policy on Postgraduate Research Graduate Teaching Assistants </w:t>
                    </w:r>
                  </w:p>
                </w:sdtContent>
              </w:sdt>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6D128F" w:rsidRDefault="00F24D55" w14:paraId="49BE6A6B" w14:textId="3B5A1B5E">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6210427">
            <w:r w:rsidRPr="00222CF9" w:rsidR="006D128F">
              <w:rPr>
                <w:rStyle w:val="Hyperlink"/>
                <w:noProof/>
              </w:rPr>
              <w:t>1.</w:t>
            </w:r>
            <w:r w:rsidR="006D128F">
              <w:rPr>
                <w:rFonts w:cstheme="minorBidi"/>
                <w:noProof/>
                <w:kern w:val="2"/>
                <w:lang w:val="en-GB" w:eastAsia="en-GB"/>
                <w14:ligatures w14:val="standardContextual"/>
              </w:rPr>
              <w:tab/>
            </w:r>
            <w:r w:rsidRPr="00222CF9" w:rsidR="006D128F">
              <w:rPr>
                <w:rStyle w:val="Hyperlink"/>
                <w:noProof/>
              </w:rPr>
              <w:t>Introduction</w:t>
            </w:r>
            <w:r w:rsidR="006D128F">
              <w:rPr>
                <w:noProof/>
                <w:webHidden/>
              </w:rPr>
              <w:tab/>
            </w:r>
            <w:r w:rsidR="006D128F">
              <w:rPr>
                <w:noProof/>
                <w:webHidden/>
              </w:rPr>
              <w:fldChar w:fldCharType="begin"/>
            </w:r>
            <w:r w:rsidR="006D128F">
              <w:rPr>
                <w:noProof/>
                <w:webHidden/>
              </w:rPr>
              <w:instrText xml:space="preserve"> PAGEREF _Toc146210427 \h </w:instrText>
            </w:r>
            <w:r w:rsidR="006D128F">
              <w:rPr>
                <w:noProof/>
                <w:webHidden/>
              </w:rPr>
            </w:r>
            <w:r w:rsidR="006D128F">
              <w:rPr>
                <w:noProof/>
                <w:webHidden/>
              </w:rPr>
              <w:fldChar w:fldCharType="separate"/>
            </w:r>
            <w:r w:rsidR="006D128F">
              <w:rPr>
                <w:noProof/>
                <w:webHidden/>
              </w:rPr>
              <w:t>3</w:t>
            </w:r>
            <w:r w:rsidR="006D128F">
              <w:rPr>
                <w:noProof/>
                <w:webHidden/>
              </w:rPr>
              <w:fldChar w:fldCharType="end"/>
            </w:r>
          </w:hyperlink>
        </w:p>
        <w:p w:rsidR="006D128F" w:rsidRDefault="006D128F" w14:paraId="29056BD4" w14:textId="4F23A1D7">
          <w:pPr>
            <w:pStyle w:val="TOC2"/>
            <w:tabs>
              <w:tab w:val="left" w:pos="1100"/>
            </w:tabs>
            <w:rPr>
              <w:rFonts w:cstheme="minorBidi"/>
              <w:noProof/>
              <w:kern w:val="2"/>
              <w:lang w:val="en-GB" w:eastAsia="en-GB"/>
              <w14:ligatures w14:val="standardContextual"/>
            </w:rPr>
          </w:pPr>
          <w:hyperlink w:history="1" w:anchor="_Toc146210428">
            <w:r w:rsidRPr="00222CF9">
              <w:rPr>
                <w:rStyle w:val="Hyperlink"/>
                <w:noProof/>
              </w:rPr>
              <w:t>A</w:t>
            </w:r>
            <w:r>
              <w:rPr>
                <w:rFonts w:cstheme="minorBidi"/>
                <w:noProof/>
                <w:kern w:val="2"/>
                <w:lang w:val="en-GB" w:eastAsia="en-GB"/>
                <w14:ligatures w14:val="standardContextual"/>
              </w:rPr>
              <w:tab/>
            </w:r>
            <w:r w:rsidRPr="00222CF9">
              <w:rPr>
                <w:rStyle w:val="Hyperlink"/>
                <w:noProof/>
              </w:rPr>
              <w:t>Scope</w:t>
            </w:r>
            <w:r>
              <w:rPr>
                <w:noProof/>
                <w:webHidden/>
              </w:rPr>
              <w:tab/>
            </w:r>
            <w:r>
              <w:rPr>
                <w:noProof/>
                <w:webHidden/>
              </w:rPr>
              <w:fldChar w:fldCharType="begin"/>
            </w:r>
            <w:r>
              <w:rPr>
                <w:noProof/>
                <w:webHidden/>
              </w:rPr>
              <w:instrText xml:space="preserve"> PAGEREF _Toc146210428 \h </w:instrText>
            </w:r>
            <w:r>
              <w:rPr>
                <w:noProof/>
                <w:webHidden/>
              </w:rPr>
            </w:r>
            <w:r>
              <w:rPr>
                <w:noProof/>
                <w:webHidden/>
              </w:rPr>
              <w:fldChar w:fldCharType="separate"/>
            </w:r>
            <w:r>
              <w:rPr>
                <w:noProof/>
                <w:webHidden/>
              </w:rPr>
              <w:t>3</w:t>
            </w:r>
            <w:r>
              <w:rPr>
                <w:noProof/>
                <w:webHidden/>
              </w:rPr>
              <w:fldChar w:fldCharType="end"/>
            </w:r>
          </w:hyperlink>
        </w:p>
        <w:p w:rsidR="006D128F" w:rsidRDefault="006D128F" w14:paraId="50067F81" w14:textId="7B579A78">
          <w:pPr>
            <w:pStyle w:val="TOC1"/>
            <w:rPr>
              <w:rFonts w:cstheme="minorBidi"/>
              <w:noProof/>
              <w:kern w:val="2"/>
              <w:lang w:val="en-GB" w:eastAsia="en-GB"/>
              <w14:ligatures w14:val="standardContextual"/>
            </w:rPr>
          </w:pPr>
          <w:hyperlink w:history="1" w:anchor="_Toc146210429">
            <w:r w:rsidRPr="00222CF9">
              <w:rPr>
                <w:rStyle w:val="Hyperlink"/>
                <w:noProof/>
              </w:rPr>
              <w:t>2.</w:t>
            </w:r>
            <w:r>
              <w:rPr>
                <w:rFonts w:cstheme="minorBidi"/>
                <w:noProof/>
                <w:kern w:val="2"/>
                <w:lang w:val="en-GB" w:eastAsia="en-GB"/>
                <w14:ligatures w14:val="standardContextual"/>
              </w:rPr>
              <w:tab/>
            </w:r>
            <w:r w:rsidRPr="00222CF9">
              <w:rPr>
                <w:rStyle w:val="Hyperlink"/>
                <w:noProof/>
              </w:rPr>
              <w:t>Purpose</w:t>
            </w:r>
            <w:r>
              <w:rPr>
                <w:noProof/>
                <w:webHidden/>
              </w:rPr>
              <w:tab/>
            </w:r>
            <w:r>
              <w:rPr>
                <w:noProof/>
                <w:webHidden/>
              </w:rPr>
              <w:fldChar w:fldCharType="begin"/>
            </w:r>
            <w:r>
              <w:rPr>
                <w:noProof/>
                <w:webHidden/>
              </w:rPr>
              <w:instrText xml:space="preserve"> PAGEREF _Toc146210429 \h </w:instrText>
            </w:r>
            <w:r>
              <w:rPr>
                <w:noProof/>
                <w:webHidden/>
              </w:rPr>
            </w:r>
            <w:r>
              <w:rPr>
                <w:noProof/>
                <w:webHidden/>
              </w:rPr>
              <w:fldChar w:fldCharType="separate"/>
            </w:r>
            <w:r>
              <w:rPr>
                <w:noProof/>
                <w:webHidden/>
              </w:rPr>
              <w:t>4</w:t>
            </w:r>
            <w:r>
              <w:rPr>
                <w:noProof/>
                <w:webHidden/>
              </w:rPr>
              <w:fldChar w:fldCharType="end"/>
            </w:r>
          </w:hyperlink>
        </w:p>
        <w:p w:rsidR="006D128F" w:rsidRDefault="006D128F" w14:paraId="24564963" w14:textId="1BB80EC8">
          <w:pPr>
            <w:pStyle w:val="TOC1"/>
            <w:rPr>
              <w:rFonts w:cstheme="minorBidi"/>
              <w:noProof/>
              <w:kern w:val="2"/>
              <w:lang w:val="en-GB" w:eastAsia="en-GB"/>
              <w14:ligatures w14:val="standardContextual"/>
            </w:rPr>
          </w:pPr>
          <w:hyperlink w:history="1" w:anchor="_Toc146210430">
            <w:r w:rsidRPr="00222CF9">
              <w:rPr>
                <w:rStyle w:val="Hyperlink"/>
                <w:noProof/>
              </w:rPr>
              <w:t>3.</w:t>
            </w:r>
            <w:r>
              <w:rPr>
                <w:rFonts w:cstheme="minorBidi"/>
                <w:noProof/>
                <w:kern w:val="2"/>
                <w:lang w:val="en-GB" w:eastAsia="en-GB"/>
                <w14:ligatures w14:val="standardContextual"/>
              </w:rPr>
              <w:tab/>
            </w:r>
            <w:r w:rsidRPr="00222CF9">
              <w:rPr>
                <w:rStyle w:val="Hyperlink"/>
                <w:noProof/>
              </w:rPr>
              <w:t>Faculty leadership responsibilities – making the policy work</w:t>
            </w:r>
            <w:r>
              <w:rPr>
                <w:noProof/>
                <w:webHidden/>
              </w:rPr>
              <w:tab/>
            </w:r>
            <w:r>
              <w:rPr>
                <w:noProof/>
                <w:webHidden/>
              </w:rPr>
              <w:fldChar w:fldCharType="begin"/>
            </w:r>
            <w:r>
              <w:rPr>
                <w:noProof/>
                <w:webHidden/>
              </w:rPr>
              <w:instrText xml:space="preserve"> PAGEREF _Toc146210430 \h </w:instrText>
            </w:r>
            <w:r>
              <w:rPr>
                <w:noProof/>
                <w:webHidden/>
              </w:rPr>
            </w:r>
            <w:r>
              <w:rPr>
                <w:noProof/>
                <w:webHidden/>
              </w:rPr>
              <w:fldChar w:fldCharType="separate"/>
            </w:r>
            <w:r>
              <w:rPr>
                <w:noProof/>
                <w:webHidden/>
              </w:rPr>
              <w:t>5</w:t>
            </w:r>
            <w:r>
              <w:rPr>
                <w:noProof/>
                <w:webHidden/>
              </w:rPr>
              <w:fldChar w:fldCharType="end"/>
            </w:r>
          </w:hyperlink>
        </w:p>
        <w:p w:rsidR="006D128F" w:rsidRDefault="006D128F" w14:paraId="1D4A266C" w14:textId="77041D07">
          <w:pPr>
            <w:pStyle w:val="TOC1"/>
            <w:rPr>
              <w:rFonts w:cstheme="minorBidi"/>
              <w:noProof/>
              <w:kern w:val="2"/>
              <w:lang w:val="en-GB" w:eastAsia="en-GB"/>
              <w14:ligatures w14:val="standardContextual"/>
            </w:rPr>
          </w:pPr>
          <w:hyperlink w:history="1" w:anchor="_Toc146210431">
            <w:r w:rsidRPr="00222CF9">
              <w:rPr>
                <w:rStyle w:val="Hyperlink"/>
                <w:noProof/>
              </w:rPr>
              <w:t>4.</w:t>
            </w:r>
            <w:r>
              <w:rPr>
                <w:rFonts w:cstheme="minorBidi"/>
                <w:noProof/>
                <w:kern w:val="2"/>
                <w:lang w:val="en-GB" w:eastAsia="en-GB"/>
                <w14:ligatures w14:val="standardContextual"/>
              </w:rPr>
              <w:tab/>
            </w:r>
            <w:r w:rsidRPr="00222CF9">
              <w:rPr>
                <w:rStyle w:val="Hyperlink"/>
                <w:noProof/>
              </w:rPr>
              <w:t>Role and status of a PGR GTA</w:t>
            </w:r>
            <w:r>
              <w:rPr>
                <w:noProof/>
                <w:webHidden/>
              </w:rPr>
              <w:tab/>
            </w:r>
            <w:r>
              <w:rPr>
                <w:noProof/>
                <w:webHidden/>
              </w:rPr>
              <w:fldChar w:fldCharType="begin"/>
            </w:r>
            <w:r>
              <w:rPr>
                <w:noProof/>
                <w:webHidden/>
              </w:rPr>
              <w:instrText xml:space="preserve"> PAGEREF _Toc146210431 \h </w:instrText>
            </w:r>
            <w:r>
              <w:rPr>
                <w:noProof/>
                <w:webHidden/>
              </w:rPr>
            </w:r>
            <w:r>
              <w:rPr>
                <w:noProof/>
                <w:webHidden/>
              </w:rPr>
              <w:fldChar w:fldCharType="separate"/>
            </w:r>
            <w:r>
              <w:rPr>
                <w:noProof/>
                <w:webHidden/>
              </w:rPr>
              <w:t>5</w:t>
            </w:r>
            <w:r>
              <w:rPr>
                <w:noProof/>
                <w:webHidden/>
              </w:rPr>
              <w:fldChar w:fldCharType="end"/>
            </w:r>
          </w:hyperlink>
        </w:p>
        <w:p w:rsidR="006D128F" w:rsidRDefault="006D128F" w14:paraId="40B0AD57" w14:textId="238EE3D4">
          <w:pPr>
            <w:pStyle w:val="TOC1"/>
            <w:rPr>
              <w:rFonts w:cstheme="minorBidi"/>
              <w:noProof/>
              <w:kern w:val="2"/>
              <w:lang w:val="en-GB" w:eastAsia="en-GB"/>
              <w14:ligatures w14:val="standardContextual"/>
            </w:rPr>
          </w:pPr>
          <w:hyperlink w:history="1" w:anchor="_Toc146210432">
            <w:r w:rsidRPr="00222CF9">
              <w:rPr>
                <w:rStyle w:val="Hyperlink"/>
                <w:noProof/>
              </w:rPr>
              <w:t>5.</w:t>
            </w:r>
            <w:r>
              <w:rPr>
                <w:rFonts w:cstheme="minorBidi"/>
                <w:noProof/>
                <w:kern w:val="2"/>
                <w:lang w:val="en-GB" w:eastAsia="en-GB"/>
                <w14:ligatures w14:val="standardContextual"/>
              </w:rPr>
              <w:tab/>
            </w:r>
            <w:r w:rsidRPr="00222CF9">
              <w:rPr>
                <w:rStyle w:val="Hyperlink"/>
                <w:noProof/>
              </w:rPr>
              <w:t>Marking and assessment</w:t>
            </w:r>
            <w:r>
              <w:rPr>
                <w:noProof/>
                <w:webHidden/>
              </w:rPr>
              <w:tab/>
            </w:r>
            <w:r>
              <w:rPr>
                <w:noProof/>
                <w:webHidden/>
              </w:rPr>
              <w:fldChar w:fldCharType="begin"/>
            </w:r>
            <w:r>
              <w:rPr>
                <w:noProof/>
                <w:webHidden/>
              </w:rPr>
              <w:instrText xml:space="preserve"> PAGEREF _Toc146210432 \h </w:instrText>
            </w:r>
            <w:r>
              <w:rPr>
                <w:noProof/>
                <w:webHidden/>
              </w:rPr>
            </w:r>
            <w:r>
              <w:rPr>
                <w:noProof/>
                <w:webHidden/>
              </w:rPr>
              <w:fldChar w:fldCharType="separate"/>
            </w:r>
            <w:r>
              <w:rPr>
                <w:noProof/>
                <w:webHidden/>
              </w:rPr>
              <w:t>7</w:t>
            </w:r>
            <w:r>
              <w:rPr>
                <w:noProof/>
                <w:webHidden/>
              </w:rPr>
              <w:fldChar w:fldCharType="end"/>
            </w:r>
          </w:hyperlink>
        </w:p>
        <w:p w:rsidR="006D128F" w:rsidRDefault="006D128F" w14:paraId="54F6AD9C" w14:textId="487B457C">
          <w:pPr>
            <w:pStyle w:val="TOC1"/>
            <w:rPr>
              <w:rFonts w:cstheme="minorBidi"/>
              <w:noProof/>
              <w:kern w:val="2"/>
              <w:lang w:val="en-GB" w:eastAsia="en-GB"/>
              <w14:ligatures w14:val="standardContextual"/>
            </w:rPr>
          </w:pPr>
          <w:hyperlink w:history="1" w:anchor="_Toc146210433">
            <w:r w:rsidRPr="00222CF9">
              <w:rPr>
                <w:rStyle w:val="Hyperlink"/>
                <w:noProof/>
              </w:rPr>
              <w:t>6.</w:t>
            </w:r>
            <w:r>
              <w:rPr>
                <w:rFonts w:cstheme="minorBidi"/>
                <w:noProof/>
                <w:kern w:val="2"/>
                <w:lang w:val="en-GB" w:eastAsia="en-GB"/>
                <w14:ligatures w14:val="standardContextual"/>
              </w:rPr>
              <w:tab/>
            </w:r>
            <w:r w:rsidRPr="00222CF9">
              <w:rPr>
                <w:rStyle w:val="Hyperlink"/>
                <w:noProof/>
              </w:rPr>
              <w:t>Creating and identifying opportunities for PGR GTAs</w:t>
            </w:r>
            <w:r>
              <w:rPr>
                <w:noProof/>
                <w:webHidden/>
              </w:rPr>
              <w:tab/>
            </w:r>
            <w:r>
              <w:rPr>
                <w:noProof/>
                <w:webHidden/>
              </w:rPr>
              <w:fldChar w:fldCharType="begin"/>
            </w:r>
            <w:r>
              <w:rPr>
                <w:noProof/>
                <w:webHidden/>
              </w:rPr>
              <w:instrText xml:space="preserve"> PAGEREF _Toc146210433 \h </w:instrText>
            </w:r>
            <w:r>
              <w:rPr>
                <w:noProof/>
                <w:webHidden/>
              </w:rPr>
            </w:r>
            <w:r>
              <w:rPr>
                <w:noProof/>
                <w:webHidden/>
              </w:rPr>
              <w:fldChar w:fldCharType="separate"/>
            </w:r>
            <w:r>
              <w:rPr>
                <w:noProof/>
                <w:webHidden/>
              </w:rPr>
              <w:t>7</w:t>
            </w:r>
            <w:r>
              <w:rPr>
                <w:noProof/>
                <w:webHidden/>
              </w:rPr>
              <w:fldChar w:fldCharType="end"/>
            </w:r>
          </w:hyperlink>
        </w:p>
        <w:p w:rsidR="006D128F" w:rsidRDefault="006D128F" w14:paraId="166F0CB2" w14:textId="37F12B69">
          <w:pPr>
            <w:pStyle w:val="TOC1"/>
            <w:rPr>
              <w:rFonts w:cstheme="minorBidi"/>
              <w:noProof/>
              <w:kern w:val="2"/>
              <w:lang w:val="en-GB" w:eastAsia="en-GB"/>
              <w14:ligatures w14:val="standardContextual"/>
            </w:rPr>
          </w:pPr>
          <w:hyperlink w:history="1" w:anchor="_Toc146210434">
            <w:r w:rsidRPr="00222CF9">
              <w:rPr>
                <w:rStyle w:val="Hyperlink"/>
                <w:noProof/>
              </w:rPr>
              <w:t>7.</w:t>
            </w:r>
            <w:r>
              <w:rPr>
                <w:rFonts w:cstheme="minorBidi"/>
                <w:noProof/>
                <w:kern w:val="2"/>
                <w:lang w:val="en-GB" w:eastAsia="en-GB"/>
                <w14:ligatures w14:val="standardContextual"/>
              </w:rPr>
              <w:tab/>
            </w:r>
            <w:r w:rsidRPr="00222CF9">
              <w:rPr>
                <w:rStyle w:val="Hyperlink"/>
                <w:noProof/>
              </w:rPr>
              <w:t>Advertising, recruitment and selection</w:t>
            </w:r>
            <w:r>
              <w:rPr>
                <w:noProof/>
                <w:webHidden/>
              </w:rPr>
              <w:tab/>
            </w:r>
            <w:r>
              <w:rPr>
                <w:noProof/>
                <w:webHidden/>
              </w:rPr>
              <w:fldChar w:fldCharType="begin"/>
            </w:r>
            <w:r>
              <w:rPr>
                <w:noProof/>
                <w:webHidden/>
              </w:rPr>
              <w:instrText xml:space="preserve"> PAGEREF _Toc146210434 \h </w:instrText>
            </w:r>
            <w:r>
              <w:rPr>
                <w:noProof/>
                <w:webHidden/>
              </w:rPr>
            </w:r>
            <w:r>
              <w:rPr>
                <w:noProof/>
                <w:webHidden/>
              </w:rPr>
              <w:fldChar w:fldCharType="separate"/>
            </w:r>
            <w:r>
              <w:rPr>
                <w:noProof/>
                <w:webHidden/>
              </w:rPr>
              <w:t>7</w:t>
            </w:r>
            <w:r>
              <w:rPr>
                <w:noProof/>
                <w:webHidden/>
              </w:rPr>
              <w:fldChar w:fldCharType="end"/>
            </w:r>
          </w:hyperlink>
        </w:p>
        <w:p w:rsidR="006D128F" w:rsidRDefault="006D128F" w14:paraId="3D46C608" w14:textId="73CABD3D">
          <w:pPr>
            <w:pStyle w:val="TOC1"/>
            <w:rPr>
              <w:rFonts w:cstheme="minorBidi"/>
              <w:noProof/>
              <w:kern w:val="2"/>
              <w:lang w:val="en-GB" w:eastAsia="en-GB"/>
              <w14:ligatures w14:val="standardContextual"/>
            </w:rPr>
          </w:pPr>
          <w:hyperlink w:history="1" w:anchor="_Toc146210435">
            <w:r w:rsidRPr="00222CF9">
              <w:rPr>
                <w:rStyle w:val="Hyperlink"/>
                <w:noProof/>
              </w:rPr>
              <w:t>8.</w:t>
            </w:r>
            <w:r>
              <w:rPr>
                <w:rFonts w:cstheme="minorBidi"/>
                <w:noProof/>
                <w:kern w:val="2"/>
                <w:lang w:val="en-GB" w:eastAsia="en-GB"/>
                <w14:ligatures w14:val="standardContextual"/>
              </w:rPr>
              <w:tab/>
            </w:r>
            <w:r w:rsidRPr="00222CF9">
              <w:rPr>
                <w:rStyle w:val="Hyperlink"/>
                <w:noProof/>
              </w:rPr>
              <w:t>Equality, diversity and inclusion</w:t>
            </w:r>
            <w:r>
              <w:rPr>
                <w:noProof/>
                <w:webHidden/>
              </w:rPr>
              <w:tab/>
            </w:r>
            <w:r>
              <w:rPr>
                <w:noProof/>
                <w:webHidden/>
              </w:rPr>
              <w:fldChar w:fldCharType="begin"/>
            </w:r>
            <w:r>
              <w:rPr>
                <w:noProof/>
                <w:webHidden/>
              </w:rPr>
              <w:instrText xml:space="preserve"> PAGEREF _Toc146210435 \h </w:instrText>
            </w:r>
            <w:r>
              <w:rPr>
                <w:noProof/>
                <w:webHidden/>
              </w:rPr>
            </w:r>
            <w:r>
              <w:rPr>
                <w:noProof/>
                <w:webHidden/>
              </w:rPr>
              <w:fldChar w:fldCharType="separate"/>
            </w:r>
            <w:r>
              <w:rPr>
                <w:noProof/>
                <w:webHidden/>
              </w:rPr>
              <w:t>7</w:t>
            </w:r>
            <w:r>
              <w:rPr>
                <w:noProof/>
                <w:webHidden/>
              </w:rPr>
              <w:fldChar w:fldCharType="end"/>
            </w:r>
          </w:hyperlink>
        </w:p>
        <w:p w:rsidR="006D128F" w:rsidRDefault="006D128F" w14:paraId="5F27F1AD" w14:textId="6E6E7B4C">
          <w:pPr>
            <w:pStyle w:val="TOC1"/>
            <w:rPr>
              <w:rFonts w:cstheme="minorBidi"/>
              <w:noProof/>
              <w:kern w:val="2"/>
              <w:lang w:val="en-GB" w:eastAsia="en-GB"/>
              <w14:ligatures w14:val="standardContextual"/>
            </w:rPr>
          </w:pPr>
          <w:hyperlink w:history="1" w:anchor="_Toc146210436">
            <w:r w:rsidRPr="00222CF9">
              <w:rPr>
                <w:rStyle w:val="Hyperlink"/>
                <w:noProof/>
              </w:rPr>
              <w:t>9.</w:t>
            </w:r>
            <w:r>
              <w:rPr>
                <w:rFonts w:cstheme="minorBidi"/>
                <w:noProof/>
                <w:kern w:val="2"/>
                <w:lang w:val="en-GB" w:eastAsia="en-GB"/>
                <w14:ligatures w14:val="standardContextual"/>
              </w:rPr>
              <w:tab/>
            </w:r>
            <w:r w:rsidRPr="00222CF9">
              <w:rPr>
                <w:rStyle w:val="Hyperlink"/>
                <w:noProof/>
              </w:rPr>
              <w:t>Tuition fee waiver and stipend</w:t>
            </w:r>
            <w:r>
              <w:rPr>
                <w:noProof/>
                <w:webHidden/>
              </w:rPr>
              <w:tab/>
            </w:r>
            <w:r>
              <w:rPr>
                <w:noProof/>
                <w:webHidden/>
              </w:rPr>
              <w:fldChar w:fldCharType="begin"/>
            </w:r>
            <w:r>
              <w:rPr>
                <w:noProof/>
                <w:webHidden/>
              </w:rPr>
              <w:instrText xml:space="preserve"> PAGEREF _Toc146210436 \h </w:instrText>
            </w:r>
            <w:r>
              <w:rPr>
                <w:noProof/>
                <w:webHidden/>
              </w:rPr>
            </w:r>
            <w:r>
              <w:rPr>
                <w:noProof/>
                <w:webHidden/>
              </w:rPr>
              <w:fldChar w:fldCharType="separate"/>
            </w:r>
            <w:r>
              <w:rPr>
                <w:noProof/>
                <w:webHidden/>
              </w:rPr>
              <w:t>8</w:t>
            </w:r>
            <w:r>
              <w:rPr>
                <w:noProof/>
                <w:webHidden/>
              </w:rPr>
              <w:fldChar w:fldCharType="end"/>
            </w:r>
          </w:hyperlink>
        </w:p>
        <w:p w:rsidR="006D128F" w:rsidRDefault="006D128F" w14:paraId="1A6F72B6" w14:textId="054FE2AE">
          <w:pPr>
            <w:pStyle w:val="TOC1"/>
            <w:rPr>
              <w:rFonts w:cstheme="minorBidi"/>
              <w:noProof/>
              <w:kern w:val="2"/>
              <w:lang w:val="en-GB" w:eastAsia="en-GB"/>
              <w14:ligatures w14:val="standardContextual"/>
            </w:rPr>
          </w:pPr>
          <w:hyperlink w:history="1" w:anchor="_Toc146210437">
            <w:r w:rsidRPr="00222CF9">
              <w:rPr>
                <w:rStyle w:val="Hyperlink"/>
                <w:noProof/>
              </w:rPr>
              <w:t>10.</w:t>
            </w:r>
            <w:r>
              <w:rPr>
                <w:rFonts w:cstheme="minorBidi"/>
                <w:noProof/>
                <w:kern w:val="2"/>
                <w:lang w:val="en-GB" w:eastAsia="en-GB"/>
                <w14:ligatures w14:val="standardContextual"/>
              </w:rPr>
              <w:tab/>
            </w:r>
            <w:r w:rsidRPr="00222CF9">
              <w:rPr>
                <w:rStyle w:val="Hyperlink"/>
                <w:noProof/>
              </w:rPr>
              <w:t>Monitoring of performance and quality assurance</w:t>
            </w:r>
            <w:r>
              <w:rPr>
                <w:noProof/>
                <w:webHidden/>
              </w:rPr>
              <w:tab/>
            </w:r>
            <w:r>
              <w:rPr>
                <w:noProof/>
                <w:webHidden/>
              </w:rPr>
              <w:fldChar w:fldCharType="begin"/>
            </w:r>
            <w:r>
              <w:rPr>
                <w:noProof/>
                <w:webHidden/>
              </w:rPr>
              <w:instrText xml:space="preserve"> PAGEREF _Toc146210437 \h </w:instrText>
            </w:r>
            <w:r>
              <w:rPr>
                <w:noProof/>
                <w:webHidden/>
              </w:rPr>
            </w:r>
            <w:r>
              <w:rPr>
                <w:noProof/>
                <w:webHidden/>
              </w:rPr>
              <w:fldChar w:fldCharType="separate"/>
            </w:r>
            <w:r>
              <w:rPr>
                <w:noProof/>
                <w:webHidden/>
              </w:rPr>
              <w:t>8</w:t>
            </w:r>
            <w:r>
              <w:rPr>
                <w:noProof/>
                <w:webHidden/>
              </w:rPr>
              <w:fldChar w:fldCharType="end"/>
            </w:r>
          </w:hyperlink>
        </w:p>
        <w:p w:rsidR="006D128F" w:rsidRDefault="006D128F" w14:paraId="40906312" w14:textId="01403D29">
          <w:pPr>
            <w:pStyle w:val="TOC1"/>
            <w:rPr>
              <w:rFonts w:cstheme="minorBidi"/>
              <w:noProof/>
              <w:kern w:val="2"/>
              <w:lang w:val="en-GB" w:eastAsia="en-GB"/>
              <w14:ligatures w14:val="standardContextual"/>
            </w:rPr>
          </w:pPr>
          <w:hyperlink w:history="1" w:anchor="_Toc146210438">
            <w:r w:rsidRPr="00222CF9">
              <w:rPr>
                <w:rStyle w:val="Hyperlink"/>
                <w:noProof/>
              </w:rPr>
              <w:t>11.</w:t>
            </w:r>
            <w:r>
              <w:rPr>
                <w:rFonts w:cstheme="minorBidi"/>
                <w:noProof/>
                <w:kern w:val="2"/>
                <w:lang w:val="en-GB" w:eastAsia="en-GB"/>
                <w14:ligatures w14:val="standardContextual"/>
              </w:rPr>
              <w:tab/>
            </w:r>
            <w:r w:rsidRPr="00222CF9">
              <w:rPr>
                <w:rStyle w:val="Hyperlink"/>
                <w:noProof/>
              </w:rPr>
              <w:t>Regulatory requirements</w:t>
            </w:r>
            <w:r>
              <w:rPr>
                <w:noProof/>
                <w:webHidden/>
              </w:rPr>
              <w:tab/>
            </w:r>
            <w:r>
              <w:rPr>
                <w:noProof/>
                <w:webHidden/>
              </w:rPr>
              <w:fldChar w:fldCharType="begin"/>
            </w:r>
            <w:r>
              <w:rPr>
                <w:noProof/>
                <w:webHidden/>
              </w:rPr>
              <w:instrText xml:space="preserve"> PAGEREF _Toc146210438 \h </w:instrText>
            </w:r>
            <w:r>
              <w:rPr>
                <w:noProof/>
                <w:webHidden/>
              </w:rPr>
            </w:r>
            <w:r>
              <w:rPr>
                <w:noProof/>
                <w:webHidden/>
              </w:rPr>
              <w:fldChar w:fldCharType="separate"/>
            </w:r>
            <w:r>
              <w:rPr>
                <w:noProof/>
                <w:webHidden/>
              </w:rPr>
              <w:t>9</w:t>
            </w:r>
            <w:r>
              <w:rPr>
                <w:noProof/>
                <w:webHidden/>
              </w:rPr>
              <w:fldChar w:fldCharType="end"/>
            </w:r>
          </w:hyperlink>
        </w:p>
        <w:p w:rsidR="006D128F" w:rsidRDefault="006D128F" w14:paraId="7E3570CB" w14:textId="4010CA48">
          <w:pPr>
            <w:pStyle w:val="TOC1"/>
            <w:rPr>
              <w:rFonts w:cstheme="minorBidi"/>
              <w:noProof/>
              <w:kern w:val="2"/>
              <w:lang w:val="en-GB" w:eastAsia="en-GB"/>
              <w14:ligatures w14:val="standardContextual"/>
            </w:rPr>
          </w:pPr>
          <w:hyperlink w:history="1" w:anchor="_Toc146210439">
            <w:r w:rsidRPr="00222CF9">
              <w:rPr>
                <w:rStyle w:val="Hyperlink"/>
                <w:noProof/>
              </w:rPr>
              <w:t>12.</w:t>
            </w:r>
            <w:r>
              <w:rPr>
                <w:rFonts w:cstheme="minorBidi"/>
                <w:noProof/>
                <w:kern w:val="2"/>
                <w:lang w:val="en-GB" w:eastAsia="en-GB"/>
                <w14:ligatures w14:val="standardContextual"/>
              </w:rPr>
              <w:tab/>
            </w:r>
            <w:r w:rsidRPr="00222CF9">
              <w:rPr>
                <w:rStyle w:val="Hyperlink"/>
                <w:noProof/>
              </w:rPr>
              <w:t>Managing the teaching workload</w:t>
            </w:r>
            <w:r>
              <w:rPr>
                <w:noProof/>
                <w:webHidden/>
              </w:rPr>
              <w:tab/>
            </w:r>
            <w:r>
              <w:rPr>
                <w:noProof/>
                <w:webHidden/>
              </w:rPr>
              <w:fldChar w:fldCharType="begin"/>
            </w:r>
            <w:r>
              <w:rPr>
                <w:noProof/>
                <w:webHidden/>
              </w:rPr>
              <w:instrText xml:space="preserve"> PAGEREF _Toc146210439 \h </w:instrText>
            </w:r>
            <w:r>
              <w:rPr>
                <w:noProof/>
                <w:webHidden/>
              </w:rPr>
            </w:r>
            <w:r>
              <w:rPr>
                <w:noProof/>
                <w:webHidden/>
              </w:rPr>
              <w:fldChar w:fldCharType="separate"/>
            </w:r>
            <w:r>
              <w:rPr>
                <w:noProof/>
                <w:webHidden/>
              </w:rPr>
              <w:t>9</w:t>
            </w:r>
            <w:r>
              <w:rPr>
                <w:noProof/>
                <w:webHidden/>
              </w:rPr>
              <w:fldChar w:fldCharType="end"/>
            </w:r>
          </w:hyperlink>
        </w:p>
        <w:p w:rsidR="006D128F" w:rsidRDefault="006D128F" w14:paraId="633511FB" w14:textId="7EB2F649">
          <w:pPr>
            <w:pStyle w:val="TOC1"/>
            <w:rPr>
              <w:rFonts w:cstheme="minorBidi"/>
              <w:noProof/>
              <w:kern w:val="2"/>
              <w:lang w:val="en-GB" w:eastAsia="en-GB"/>
              <w14:ligatures w14:val="standardContextual"/>
            </w:rPr>
          </w:pPr>
          <w:hyperlink w:history="1" w:anchor="_Toc146210440">
            <w:r w:rsidRPr="00222CF9">
              <w:rPr>
                <w:rStyle w:val="Hyperlink"/>
                <w:noProof/>
              </w:rPr>
              <w:t>13.</w:t>
            </w:r>
            <w:r>
              <w:rPr>
                <w:rFonts w:cstheme="minorBidi"/>
                <w:noProof/>
                <w:kern w:val="2"/>
                <w:lang w:val="en-GB" w:eastAsia="en-GB"/>
                <w14:ligatures w14:val="standardContextual"/>
              </w:rPr>
              <w:tab/>
            </w:r>
            <w:r w:rsidRPr="00222CF9">
              <w:rPr>
                <w:rStyle w:val="Hyperlink"/>
                <w:noProof/>
              </w:rPr>
              <w:t>Training, development and quality assurance</w:t>
            </w:r>
            <w:r>
              <w:rPr>
                <w:noProof/>
                <w:webHidden/>
              </w:rPr>
              <w:tab/>
            </w:r>
            <w:r>
              <w:rPr>
                <w:noProof/>
                <w:webHidden/>
              </w:rPr>
              <w:fldChar w:fldCharType="begin"/>
            </w:r>
            <w:r>
              <w:rPr>
                <w:noProof/>
                <w:webHidden/>
              </w:rPr>
              <w:instrText xml:space="preserve"> PAGEREF _Toc146210440 \h </w:instrText>
            </w:r>
            <w:r>
              <w:rPr>
                <w:noProof/>
                <w:webHidden/>
              </w:rPr>
            </w:r>
            <w:r>
              <w:rPr>
                <w:noProof/>
                <w:webHidden/>
              </w:rPr>
              <w:fldChar w:fldCharType="separate"/>
            </w:r>
            <w:r>
              <w:rPr>
                <w:noProof/>
                <w:webHidden/>
              </w:rPr>
              <w:t>10</w:t>
            </w:r>
            <w:r>
              <w:rPr>
                <w:noProof/>
                <w:webHidden/>
              </w:rPr>
              <w:fldChar w:fldCharType="end"/>
            </w:r>
          </w:hyperlink>
        </w:p>
        <w:p w:rsidR="006D128F" w:rsidRDefault="006D128F" w14:paraId="05FFBC4E" w14:textId="08D0757D">
          <w:pPr>
            <w:pStyle w:val="TOC1"/>
            <w:rPr>
              <w:rFonts w:cstheme="minorBidi"/>
              <w:noProof/>
              <w:kern w:val="2"/>
              <w:lang w:val="en-GB" w:eastAsia="en-GB"/>
              <w14:ligatures w14:val="standardContextual"/>
            </w:rPr>
          </w:pPr>
          <w:hyperlink w:history="1" w:anchor="_Toc146210441">
            <w:r w:rsidRPr="00222CF9">
              <w:rPr>
                <w:rStyle w:val="Hyperlink"/>
                <w:noProof/>
              </w:rPr>
              <w:t>14.</w:t>
            </w:r>
            <w:r>
              <w:rPr>
                <w:rFonts w:cstheme="minorBidi"/>
                <w:noProof/>
                <w:kern w:val="2"/>
                <w:lang w:val="en-GB" w:eastAsia="en-GB"/>
                <w14:ligatures w14:val="standardContextual"/>
              </w:rPr>
              <w:tab/>
            </w:r>
            <w:r w:rsidRPr="00222CF9">
              <w:rPr>
                <w:rStyle w:val="Hyperlink"/>
                <w:noProof/>
              </w:rPr>
              <w:t>English language requirements</w:t>
            </w:r>
            <w:r>
              <w:rPr>
                <w:noProof/>
                <w:webHidden/>
              </w:rPr>
              <w:tab/>
            </w:r>
            <w:r>
              <w:rPr>
                <w:noProof/>
                <w:webHidden/>
              </w:rPr>
              <w:fldChar w:fldCharType="begin"/>
            </w:r>
            <w:r>
              <w:rPr>
                <w:noProof/>
                <w:webHidden/>
              </w:rPr>
              <w:instrText xml:space="preserve"> PAGEREF _Toc146210441 \h </w:instrText>
            </w:r>
            <w:r>
              <w:rPr>
                <w:noProof/>
                <w:webHidden/>
              </w:rPr>
            </w:r>
            <w:r>
              <w:rPr>
                <w:noProof/>
                <w:webHidden/>
              </w:rPr>
              <w:fldChar w:fldCharType="separate"/>
            </w:r>
            <w:r>
              <w:rPr>
                <w:noProof/>
                <w:webHidden/>
              </w:rPr>
              <w:t>10</w:t>
            </w:r>
            <w:r>
              <w:rPr>
                <w:noProof/>
                <w:webHidden/>
              </w:rPr>
              <w:fldChar w:fldCharType="end"/>
            </w:r>
          </w:hyperlink>
        </w:p>
        <w:p w:rsidR="006D128F" w:rsidRDefault="006D128F" w14:paraId="3EE7A1F3" w14:textId="382AEF23">
          <w:pPr>
            <w:pStyle w:val="TOC1"/>
            <w:rPr>
              <w:rFonts w:cstheme="minorBidi"/>
              <w:noProof/>
              <w:kern w:val="2"/>
              <w:lang w:val="en-GB" w:eastAsia="en-GB"/>
              <w14:ligatures w14:val="standardContextual"/>
            </w:rPr>
          </w:pPr>
          <w:hyperlink w:history="1" w:anchor="_Toc146210442">
            <w:r w:rsidRPr="00222CF9">
              <w:rPr>
                <w:rStyle w:val="Hyperlink"/>
                <w:noProof/>
              </w:rPr>
              <w:t>15.</w:t>
            </w:r>
            <w:r>
              <w:rPr>
                <w:rFonts w:cstheme="minorBidi"/>
                <w:noProof/>
                <w:kern w:val="2"/>
                <w:lang w:val="en-GB" w:eastAsia="en-GB"/>
                <w14:ligatures w14:val="standardContextual"/>
              </w:rPr>
              <w:tab/>
            </w:r>
            <w:r w:rsidRPr="00222CF9">
              <w:rPr>
                <w:rStyle w:val="Hyperlink"/>
                <w:noProof/>
              </w:rPr>
              <w:t>Roles and responsibilities of the academic unit</w:t>
            </w:r>
            <w:r>
              <w:rPr>
                <w:noProof/>
                <w:webHidden/>
              </w:rPr>
              <w:tab/>
            </w:r>
            <w:r>
              <w:rPr>
                <w:noProof/>
                <w:webHidden/>
              </w:rPr>
              <w:fldChar w:fldCharType="begin"/>
            </w:r>
            <w:r>
              <w:rPr>
                <w:noProof/>
                <w:webHidden/>
              </w:rPr>
              <w:instrText xml:space="preserve"> PAGEREF _Toc146210442 \h </w:instrText>
            </w:r>
            <w:r>
              <w:rPr>
                <w:noProof/>
                <w:webHidden/>
              </w:rPr>
            </w:r>
            <w:r>
              <w:rPr>
                <w:noProof/>
                <w:webHidden/>
              </w:rPr>
              <w:fldChar w:fldCharType="separate"/>
            </w:r>
            <w:r>
              <w:rPr>
                <w:noProof/>
                <w:webHidden/>
              </w:rPr>
              <w:t>10</w:t>
            </w:r>
            <w:r>
              <w:rPr>
                <w:noProof/>
                <w:webHidden/>
              </w:rPr>
              <w:fldChar w:fldCharType="end"/>
            </w:r>
          </w:hyperlink>
        </w:p>
        <w:p w:rsidR="006D128F" w:rsidRDefault="006D128F" w14:paraId="573CC829" w14:textId="2BCA7279">
          <w:pPr>
            <w:pStyle w:val="TOC1"/>
            <w:rPr>
              <w:rFonts w:cstheme="minorBidi"/>
              <w:noProof/>
              <w:kern w:val="2"/>
              <w:lang w:val="en-GB" w:eastAsia="en-GB"/>
              <w14:ligatures w14:val="standardContextual"/>
            </w:rPr>
          </w:pPr>
          <w:hyperlink w:history="1" w:anchor="_Toc146210443">
            <w:r w:rsidRPr="00222CF9">
              <w:rPr>
                <w:rStyle w:val="Hyperlink"/>
                <w:noProof/>
              </w:rPr>
              <w:t>16.</w:t>
            </w:r>
            <w:r>
              <w:rPr>
                <w:rFonts w:cstheme="minorBidi"/>
                <w:noProof/>
                <w:kern w:val="2"/>
                <w:lang w:val="en-GB" w:eastAsia="en-GB"/>
                <w14:ligatures w14:val="standardContextual"/>
              </w:rPr>
              <w:tab/>
            </w:r>
            <w:r w:rsidRPr="00222CF9">
              <w:rPr>
                <w:rStyle w:val="Hyperlink"/>
                <w:noProof/>
              </w:rPr>
              <w:t>The role of a supervisor</w:t>
            </w:r>
            <w:r>
              <w:rPr>
                <w:noProof/>
                <w:webHidden/>
              </w:rPr>
              <w:tab/>
            </w:r>
            <w:r>
              <w:rPr>
                <w:noProof/>
                <w:webHidden/>
              </w:rPr>
              <w:fldChar w:fldCharType="begin"/>
            </w:r>
            <w:r>
              <w:rPr>
                <w:noProof/>
                <w:webHidden/>
              </w:rPr>
              <w:instrText xml:space="preserve"> PAGEREF _Toc146210443 \h </w:instrText>
            </w:r>
            <w:r>
              <w:rPr>
                <w:noProof/>
                <w:webHidden/>
              </w:rPr>
            </w:r>
            <w:r>
              <w:rPr>
                <w:noProof/>
                <w:webHidden/>
              </w:rPr>
              <w:fldChar w:fldCharType="separate"/>
            </w:r>
            <w:r>
              <w:rPr>
                <w:noProof/>
                <w:webHidden/>
              </w:rPr>
              <w:t>11</w:t>
            </w:r>
            <w:r>
              <w:rPr>
                <w:noProof/>
                <w:webHidden/>
              </w:rPr>
              <w:fldChar w:fldCharType="end"/>
            </w:r>
          </w:hyperlink>
        </w:p>
        <w:p w:rsidR="006D128F" w:rsidRDefault="006D128F" w14:paraId="51D7A16A" w14:textId="1D13528D">
          <w:pPr>
            <w:pStyle w:val="TOC1"/>
            <w:rPr>
              <w:rFonts w:cstheme="minorBidi"/>
              <w:noProof/>
              <w:kern w:val="2"/>
              <w:lang w:val="en-GB" w:eastAsia="en-GB"/>
              <w14:ligatures w14:val="standardContextual"/>
            </w:rPr>
          </w:pPr>
          <w:hyperlink w:history="1" w:anchor="_Toc146210444">
            <w:r w:rsidRPr="00222CF9">
              <w:rPr>
                <w:rStyle w:val="Hyperlink"/>
                <w:noProof/>
              </w:rPr>
              <w:t>17.</w:t>
            </w:r>
            <w:r>
              <w:rPr>
                <w:rFonts w:cstheme="minorBidi"/>
                <w:noProof/>
                <w:kern w:val="2"/>
                <w:lang w:val="en-GB" w:eastAsia="en-GB"/>
                <w14:ligatures w14:val="standardContextual"/>
              </w:rPr>
              <w:tab/>
            </w:r>
            <w:r w:rsidRPr="00222CF9">
              <w:rPr>
                <w:rStyle w:val="Hyperlink"/>
                <w:noProof/>
              </w:rPr>
              <w:t>Pastoral support</w:t>
            </w:r>
            <w:r>
              <w:rPr>
                <w:noProof/>
                <w:webHidden/>
              </w:rPr>
              <w:tab/>
            </w:r>
            <w:r>
              <w:rPr>
                <w:noProof/>
                <w:webHidden/>
              </w:rPr>
              <w:fldChar w:fldCharType="begin"/>
            </w:r>
            <w:r>
              <w:rPr>
                <w:noProof/>
                <w:webHidden/>
              </w:rPr>
              <w:instrText xml:space="preserve"> PAGEREF _Toc146210444 \h </w:instrText>
            </w:r>
            <w:r>
              <w:rPr>
                <w:noProof/>
                <w:webHidden/>
              </w:rPr>
            </w:r>
            <w:r>
              <w:rPr>
                <w:noProof/>
                <w:webHidden/>
              </w:rPr>
              <w:fldChar w:fldCharType="separate"/>
            </w:r>
            <w:r>
              <w:rPr>
                <w:noProof/>
                <w:webHidden/>
              </w:rPr>
              <w:t>11</w:t>
            </w:r>
            <w:r>
              <w:rPr>
                <w:noProof/>
                <w:webHidden/>
              </w:rPr>
              <w:fldChar w:fldCharType="end"/>
            </w:r>
          </w:hyperlink>
        </w:p>
        <w:p w:rsidR="00F24D55" w:rsidRDefault="00F24D55" w14:paraId="79CE4072" w14:textId="58583526">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5A59167A">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034F44" w14:paraId="1CF39980" w14:textId="1D275652">
            <w:pPr>
              <w:spacing w:before="40" w:after="40"/>
              <w:jc w:val="center"/>
              <w:rPr>
                <w:rFonts w:ascii="Calibri" w:hAnsi="Calibri"/>
                <w:sz w:val="28"/>
                <w:szCs w:val="28"/>
              </w:rPr>
            </w:pPr>
            <w:r>
              <w:rPr>
                <w:rFonts w:ascii="Calibri" w:hAnsi="Calibri"/>
                <w:sz w:val="28"/>
                <w:szCs w:val="28"/>
              </w:rPr>
              <w:t xml:space="preserve"> </w:t>
            </w: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lock w:val="sdtLocked"/>
              <w:placeholder>
                <w:docPart w:val="441778CDCFB040C796E3170B4CBC6BD0"/>
              </w:placeholder>
            </w:sdtPr>
            <w:sdtEndPr/>
            <w:sdtContent>
              <w:sdt>
                <w:sdtPr>
                  <w:rPr>
                    <w:rFonts w:ascii="Calibri" w:hAnsi="Calibri"/>
                    <w:sz w:val="28"/>
                    <w:szCs w:val="28"/>
                  </w:rPr>
                  <w:id w:val="1838805235"/>
                  <w:placeholder>
                    <w:docPart w:val="C51E704741BD4ED78DEFE3D824636C62"/>
                  </w:placeholder>
                </w:sdtPr>
                <w:sdtEndPr/>
                <w:sdtContent>
                  <w:p w:rsidR="00A83A08" w:rsidP="00A83A08" w:rsidRDefault="00A83A08" w14:paraId="09BE71D2" w14:textId="77777777">
                    <w:pPr>
                      <w:spacing w:before="40" w:after="40"/>
                      <w:jc w:val="center"/>
                      <w:rPr>
                        <w:sz w:val="28"/>
                        <w:szCs w:val="28"/>
                      </w:rPr>
                    </w:pPr>
                    <w:r>
                      <w:rPr>
                        <w:rFonts w:ascii="Calibri" w:hAnsi="Calibri"/>
                        <w:sz w:val="28"/>
                        <w:szCs w:val="28"/>
                      </w:rPr>
                      <w:t xml:space="preserve">Policy on Postgraduate Research Graduate Teaching Assistants </w:t>
                    </w:r>
                  </w:p>
                </w:sdtContent>
              </w:sdt>
              <w:p w:rsidRPr="00617924" w:rsidR="00704FE7" w:rsidP="008A4E7F" w:rsidRDefault="009666BD" w14:paraId="4C12A926" w14:textId="6A2148A6">
                <w:pPr>
                  <w:spacing w:before="40" w:after="40"/>
                  <w:jc w:val="center"/>
                  <w:rPr>
                    <w:rFonts w:ascii="Calibri" w:hAnsi="Calibri"/>
                    <w:sz w:val="28"/>
                    <w:szCs w:val="28"/>
                  </w:rPr>
                </w:pPr>
                <w:r>
                  <w:rPr>
                    <w:rFonts w:ascii="Calibri" w:hAnsi="Calibri"/>
                    <w:sz w:val="28"/>
                    <w:szCs w:val="28"/>
                  </w:rPr>
                  <w:t xml:space="preserve"> </w:t>
                </w:r>
              </w:p>
            </w:sdtContent>
          </w:sdt>
        </w:tc>
      </w:tr>
    </w:tbl>
    <w:p w:rsidR="005A6998" w:rsidP="00C87A9A" w:rsidRDefault="005A6998" w14:paraId="1BA8A9EC" w14:textId="189E7DBD">
      <w:pPr>
        <w:pStyle w:val="Heading1"/>
      </w:pPr>
      <w:bookmarkStart w:name="_Toc146210427" w:id="0"/>
      <w:r w:rsidRPr="00CE07EB">
        <w:t>Introduction</w:t>
      </w:r>
      <w:bookmarkEnd w:id="0"/>
    </w:p>
    <w:p w:rsidR="00E10B7F" w:rsidP="00E10B7F" w:rsidRDefault="00A83A08" w14:paraId="562A56DD" w14:textId="77777777">
      <w:pPr>
        <w:pStyle w:val="ListParagraph"/>
        <w:numPr>
          <w:ilvl w:val="1"/>
          <w:numId w:val="25"/>
        </w:numPr>
        <w:spacing w:before="120" w:after="120" w:line="240" w:lineRule="auto"/>
        <w:ind w:left="709" w:hanging="709"/>
        <w:rPr>
          <w:rFonts w:cs="Calibri"/>
        </w:rPr>
      </w:pPr>
      <w:r w:rsidRPr="00E50EEE">
        <w:rPr>
          <w:rFonts w:cs="Calibri"/>
        </w:rPr>
        <w:t xml:space="preserve">This Policy sets out the principles, expectations and requirements of Postgraduate Research Graduate Teaching Assistants (PGR GTAs), who are registered </w:t>
      </w:r>
      <w:r>
        <w:rPr>
          <w:rFonts w:cs="Calibri"/>
        </w:rPr>
        <w:t>Postgraduate Researchers (PGRs)</w:t>
      </w:r>
      <w:r w:rsidRPr="00E50EEE">
        <w:rPr>
          <w:rFonts w:cs="Calibri"/>
        </w:rPr>
        <w:t xml:space="preserve"> at the University of Hull</w:t>
      </w:r>
      <w:r>
        <w:rPr>
          <w:rFonts w:cs="Calibri"/>
        </w:rPr>
        <w:t xml:space="preserve"> (</w:t>
      </w:r>
      <w:proofErr w:type="spellStart"/>
      <w:r>
        <w:rPr>
          <w:rFonts w:cs="Calibri"/>
        </w:rPr>
        <w:t>UoH</w:t>
      </w:r>
      <w:proofErr w:type="spellEnd"/>
      <w:r>
        <w:rPr>
          <w:rFonts w:cs="Calibri"/>
        </w:rPr>
        <w:t xml:space="preserve">) </w:t>
      </w:r>
      <w:proofErr w:type="gramStart"/>
      <w:r>
        <w:rPr>
          <w:rFonts w:cs="Calibri"/>
        </w:rPr>
        <w:t>and also</w:t>
      </w:r>
      <w:proofErr w:type="gramEnd"/>
      <w:r>
        <w:rPr>
          <w:rFonts w:cs="Calibri"/>
        </w:rPr>
        <w:t xml:space="preserve"> </w:t>
      </w:r>
      <w:r w:rsidRPr="00E50EEE">
        <w:rPr>
          <w:rFonts w:cs="Calibri"/>
        </w:rPr>
        <w:t xml:space="preserve">undertake </w:t>
      </w:r>
      <w:r>
        <w:rPr>
          <w:rFonts w:cs="Calibri"/>
        </w:rPr>
        <w:t xml:space="preserve">demonstrating </w:t>
      </w:r>
      <w:r w:rsidRPr="00E50EEE">
        <w:rPr>
          <w:rFonts w:cs="Calibri"/>
        </w:rPr>
        <w:t>or teaching</w:t>
      </w:r>
      <w:r>
        <w:rPr>
          <w:rFonts w:cs="Calibri"/>
        </w:rPr>
        <w:t xml:space="preserve"> support r</w:t>
      </w:r>
      <w:r w:rsidRPr="00E50EEE">
        <w:rPr>
          <w:rFonts w:cs="Calibri"/>
        </w:rPr>
        <w:t>elated activity as part of</w:t>
      </w:r>
      <w:r>
        <w:rPr>
          <w:rFonts w:cs="Calibri"/>
        </w:rPr>
        <w:t xml:space="preserve"> their </w:t>
      </w:r>
      <w:r w:rsidRPr="00E50EEE">
        <w:rPr>
          <w:rFonts w:cs="Calibri"/>
        </w:rPr>
        <w:t xml:space="preserve">scholarship.   </w:t>
      </w:r>
    </w:p>
    <w:p w:rsidR="00E10B7F" w:rsidP="00E10B7F" w:rsidRDefault="00E10B7F" w14:paraId="648BEA8A" w14:textId="77777777">
      <w:pPr>
        <w:pStyle w:val="ListParagraph"/>
        <w:spacing w:before="120" w:after="120" w:line="240" w:lineRule="auto"/>
        <w:ind w:left="709"/>
        <w:rPr>
          <w:rFonts w:cs="Calibri"/>
        </w:rPr>
      </w:pPr>
    </w:p>
    <w:p w:rsidRPr="00E10B7F" w:rsidR="00E10B7F" w:rsidP="00E10B7F" w:rsidRDefault="00E10B7F" w14:paraId="0944F17A" w14:textId="77777777">
      <w:pPr>
        <w:pStyle w:val="ListParagraph"/>
        <w:numPr>
          <w:ilvl w:val="1"/>
          <w:numId w:val="25"/>
        </w:numPr>
        <w:spacing w:before="120" w:after="120" w:line="240" w:lineRule="auto"/>
        <w:ind w:left="709" w:hanging="709"/>
        <w:rPr>
          <w:rFonts w:cs="Calibri"/>
        </w:rPr>
      </w:pPr>
      <w:r w:rsidRPr="00E92EB8">
        <w:t>This Policy aligns with the University Regulations, Procedures and Codes of Practice as contained in the University Quality Handbook</w:t>
      </w:r>
      <w:r>
        <w:t>.</w:t>
      </w:r>
      <w:r w:rsidRPr="00E92EB8">
        <w:t xml:space="preserve"> </w:t>
      </w:r>
    </w:p>
    <w:p w:rsidR="00E10B7F" w:rsidP="00E10B7F" w:rsidRDefault="00E10B7F" w14:paraId="34F09C6E" w14:textId="77777777">
      <w:pPr>
        <w:pStyle w:val="ListParagraph"/>
      </w:pPr>
    </w:p>
    <w:p w:rsidRPr="00E10B7F" w:rsidR="00E10B7F" w:rsidP="00E10B7F" w:rsidRDefault="00E10B7F" w14:paraId="3E318158" w14:textId="293FA25F">
      <w:pPr>
        <w:pStyle w:val="ListParagraph"/>
        <w:numPr>
          <w:ilvl w:val="1"/>
          <w:numId w:val="25"/>
        </w:numPr>
        <w:spacing w:before="120" w:after="120" w:line="240" w:lineRule="auto"/>
        <w:ind w:left="709" w:hanging="709"/>
        <w:rPr>
          <w:rFonts w:cs="Calibri"/>
        </w:rPr>
      </w:pPr>
      <w:r w:rsidRPr="00291332">
        <w:t xml:space="preserve">This Policy has been developed with reference to the </w:t>
      </w:r>
      <w:r w:rsidRPr="00E10B7F">
        <w:rPr>
          <w:i/>
        </w:rPr>
        <w:t>Quality Assurance Agency UK’s Quality Code for Higher Education, 2018,</w:t>
      </w:r>
      <w:r w:rsidRPr="00291332">
        <w:t xml:space="preserve"> with particular reference to </w:t>
      </w:r>
      <w:r w:rsidRPr="00E10B7F">
        <w:rPr>
          <w:i/>
        </w:rPr>
        <w:t xml:space="preserve">Guiding Principle 4, Research students are afforded opportunities for professional development: </w:t>
      </w:r>
    </w:p>
    <w:p w:rsidR="00E10B7F" w:rsidP="00E10B7F" w:rsidRDefault="00E10B7F" w14:paraId="62086BF4" w14:textId="77777777">
      <w:pPr>
        <w:spacing w:after="240"/>
        <w:ind w:left="709"/>
      </w:pPr>
      <w:r>
        <w:t xml:space="preserve">‘….. Providing research students with an opportunity to support learning and teaching, develops a range of skills and reinforces their own knowledge of the subject. Providers may offer research students non-compulsory teaching opportunities; these may be limited and not necessarily available to all research students. For their own benefit and to safeguard the experience of the taught students, research students receive appropriate training, support and mentoring if they are teaching. Mentoring can be provided by membership of larger teaching teams, and support should ensure that teaching duties are not so intensive or time consuming as to affect completion.’ </w:t>
      </w:r>
    </w:p>
    <w:p w:rsidR="00E10B7F" w:rsidP="00FB14D9" w:rsidRDefault="00E10B7F" w14:paraId="174788D4" w14:textId="47672241">
      <w:pPr>
        <w:pStyle w:val="ListParagraph"/>
        <w:numPr>
          <w:ilvl w:val="1"/>
          <w:numId w:val="25"/>
        </w:numPr>
        <w:spacing w:after="240"/>
        <w:ind w:left="709" w:hanging="709"/>
      </w:pPr>
      <w:proofErr w:type="spellStart"/>
      <w:r>
        <w:t>U</w:t>
      </w:r>
      <w:r w:rsidR="00FB14D9">
        <w:t>oH</w:t>
      </w:r>
      <w:proofErr w:type="spellEnd"/>
      <w:r w:rsidR="00FB14D9">
        <w:t xml:space="preserve"> </w:t>
      </w:r>
      <w:r>
        <w:t>staff are expected to follow the guidance provided in this Policy to ensure that wherever PGR GTAs are involved in teaching support activities, we are safeguarding the quality of both their experience and that of students whom they teach.</w:t>
      </w:r>
    </w:p>
    <w:p w:rsidR="00836FA7" w:rsidP="00FB14D9" w:rsidRDefault="00836FA7" w14:paraId="08B30CEC" w14:textId="77777777">
      <w:pPr>
        <w:pStyle w:val="ListParagraph"/>
        <w:spacing w:after="240"/>
        <w:ind w:left="709"/>
      </w:pPr>
    </w:p>
    <w:p w:rsidR="00E10B7F" w:rsidP="00FB14D9" w:rsidRDefault="00E10B7F" w14:paraId="3A7ABC7B" w14:textId="5DC986DC">
      <w:pPr>
        <w:pStyle w:val="ListParagraph"/>
        <w:numPr>
          <w:ilvl w:val="1"/>
          <w:numId w:val="25"/>
        </w:numPr>
        <w:spacing w:after="240"/>
        <w:ind w:left="709" w:hanging="709"/>
      </w:pPr>
      <w:r>
        <w:t>The contribution of PGR GTAs is not intended to be a replacement for the normal teaching undertaken by academic staff, but as a positive addition benefitting all parties.</w:t>
      </w:r>
      <w:r w:rsidRPr="00521191">
        <w:t xml:space="preserve"> </w:t>
      </w:r>
    </w:p>
    <w:p w:rsidR="00E10B7F" w:rsidP="00836FA7" w:rsidRDefault="00E10B7F" w14:paraId="75FE4701" w14:textId="77777777">
      <w:pPr>
        <w:pStyle w:val="ListParagraph"/>
        <w:spacing w:before="120" w:after="120" w:line="240" w:lineRule="auto"/>
        <w:ind w:left="709"/>
        <w:rPr>
          <w:rFonts w:cs="Calibri"/>
        </w:rPr>
      </w:pPr>
    </w:p>
    <w:p w:rsidR="00617924" w:rsidP="00617924" w:rsidRDefault="00617924" w14:paraId="488384CC" w14:textId="1205FE6E">
      <w:pPr>
        <w:pStyle w:val="Heading2"/>
      </w:pPr>
      <w:bookmarkStart w:name="_Toc146210428" w:id="1"/>
      <w:r>
        <w:t>Scope</w:t>
      </w:r>
      <w:bookmarkEnd w:id="1"/>
    </w:p>
    <w:p w:rsidR="00A83A08" w:rsidP="00C004DB" w:rsidRDefault="00A83A08" w14:paraId="4C415A73" w14:textId="77777777">
      <w:pPr>
        <w:pStyle w:val="ListParagraph"/>
        <w:numPr>
          <w:ilvl w:val="1"/>
          <w:numId w:val="25"/>
        </w:numPr>
        <w:spacing w:before="120" w:after="120" w:line="240" w:lineRule="auto"/>
        <w:ind w:left="709" w:hanging="709"/>
      </w:pPr>
      <w:r w:rsidRPr="00FB055B">
        <w:t xml:space="preserve">This Policy </w:t>
      </w:r>
      <w:r w:rsidRPr="00424F42">
        <w:rPr>
          <w:b/>
        </w:rPr>
        <w:t>applies</w:t>
      </w:r>
      <w:r w:rsidRPr="00FB055B">
        <w:t xml:space="preserve"> </w:t>
      </w:r>
      <w:r>
        <w:t xml:space="preserve">to the academic and teaching support activities of PGR GTAs. </w:t>
      </w:r>
    </w:p>
    <w:p w:rsidR="00A83A08" w:rsidP="00C004DB" w:rsidRDefault="00A83A08" w14:paraId="0237C213" w14:textId="77777777">
      <w:pPr>
        <w:pStyle w:val="ListParagraph"/>
        <w:spacing w:before="120" w:after="120" w:line="240" w:lineRule="auto"/>
        <w:ind w:left="567" w:hanging="567"/>
      </w:pPr>
    </w:p>
    <w:p w:rsidR="00A83A08" w:rsidP="00C004DB" w:rsidRDefault="00A83A08" w14:paraId="301D13A4" w14:textId="77777777">
      <w:pPr>
        <w:pStyle w:val="ListParagraph"/>
        <w:numPr>
          <w:ilvl w:val="1"/>
          <w:numId w:val="25"/>
        </w:numPr>
        <w:spacing w:before="120" w:after="120" w:line="240" w:lineRule="auto"/>
        <w:ind w:left="709" w:hanging="709"/>
      </w:pPr>
      <w:r w:rsidRPr="005150C9">
        <w:t xml:space="preserve">The Policy </w:t>
      </w:r>
      <w:r w:rsidRPr="00424F42">
        <w:rPr>
          <w:b/>
        </w:rPr>
        <w:t>does not apply</w:t>
      </w:r>
      <w:r>
        <w:t xml:space="preserve"> </w:t>
      </w:r>
      <w:r w:rsidRPr="005150C9">
        <w:t>to</w:t>
      </w:r>
      <w:r>
        <w:t>:</w:t>
      </w:r>
    </w:p>
    <w:p w:rsidR="00A83A08" w:rsidP="00C004DB" w:rsidRDefault="00A83A08" w14:paraId="66875205" w14:textId="77777777">
      <w:pPr>
        <w:pStyle w:val="ListParagraph"/>
        <w:spacing w:before="120" w:after="120" w:line="240" w:lineRule="auto"/>
      </w:pPr>
    </w:p>
    <w:p w:rsidRPr="001D1998" w:rsidR="00A83A08" w:rsidP="00C004DB" w:rsidRDefault="00A83A08" w14:paraId="706279AF" w14:textId="77777777">
      <w:pPr>
        <w:pStyle w:val="ListParagraph"/>
        <w:numPr>
          <w:ilvl w:val="0"/>
          <w:numId w:val="27"/>
        </w:numPr>
        <w:spacing w:before="120" w:after="120" w:line="240" w:lineRule="auto"/>
        <w:ind w:left="1418" w:hanging="425"/>
        <w:contextualSpacing w:val="0"/>
        <w:rPr>
          <w:rFonts w:eastAsia="DengXian" w:cs="Arial"/>
        </w:rPr>
      </w:pPr>
      <w:r>
        <w:t>E</w:t>
      </w:r>
      <w:r w:rsidRPr="005150C9">
        <w:t>xisting full</w:t>
      </w:r>
      <w:r>
        <w:t>-time</w:t>
      </w:r>
      <w:r w:rsidRPr="005150C9">
        <w:t xml:space="preserve"> or part-time members of academic staff who are also registered as PGR</w:t>
      </w:r>
      <w:r>
        <w:t>s</w:t>
      </w:r>
      <w:r w:rsidRPr="005150C9">
        <w:t>.</w:t>
      </w:r>
    </w:p>
    <w:p w:rsidR="00A83A08" w:rsidP="00C004DB" w:rsidRDefault="00A83A08" w14:paraId="0CE30FAF" w14:textId="77777777">
      <w:pPr>
        <w:pStyle w:val="ListParagraph"/>
        <w:numPr>
          <w:ilvl w:val="0"/>
          <w:numId w:val="27"/>
        </w:numPr>
        <w:spacing w:before="120" w:after="120" w:line="240" w:lineRule="auto"/>
        <w:ind w:left="567" w:firstLine="426"/>
        <w:contextualSpacing w:val="0"/>
        <w:rPr>
          <w:rFonts w:eastAsia="DengXian" w:cs="Arial"/>
        </w:rPr>
      </w:pPr>
      <w:bookmarkStart w:name="_Hlk111466224" w:id="2"/>
      <w:r>
        <w:rPr>
          <w:rFonts w:eastAsia="DengXian" w:cs="Arial"/>
        </w:rPr>
        <w:t xml:space="preserve">Those registered on taught or research </w:t>
      </w:r>
      <w:proofErr w:type="gramStart"/>
      <w:r>
        <w:rPr>
          <w:rFonts w:eastAsia="DengXian" w:cs="Arial"/>
        </w:rPr>
        <w:t>Master’s</w:t>
      </w:r>
      <w:proofErr w:type="gramEnd"/>
      <w:r>
        <w:rPr>
          <w:rFonts w:eastAsia="DengXian" w:cs="Arial"/>
        </w:rPr>
        <w:t xml:space="preserve"> degrees. </w:t>
      </w:r>
    </w:p>
    <w:bookmarkEnd w:id="2"/>
    <w:p w:rsidR="00A83A08" w:rsidP="00C004DB" w:rsidRDefault="00A83A08" w14:paraId="7DDD6FA2" w14:textId="77777777">
      <w:pPr>
        <w:pStyle w:val="ListParagraph"/>
        <w:numPr>
          <w:ilvl w:val="0"/>
          <w:numId w:val="27"/>
        </w:numPr>
        <w:spacing w:before="120" w:after="120" w:line="240" w:lineRule="auto"/>
        <w:ind w:left="567" w:firstLine="426"/>
        <w:contextualSpacing w:val="0"/>
        <w:rPr>
          <w:rFonts w:eastAsia="DengXian" w:cs="Arial"/>
        </w:rPr>
      </w:pPr>
      <w:r w:rsidRPr="00757ABB">
        <w:rPr>
          <w:rFonts w:eastAsia="DengXian" w:cs="Arial"/>
        </w:rPr>
        <w:t>Postgraduate Researchers Who Teach (PGWT)</w:t>
      </w:r>
      <w:r>
        <w:rPr>
          <w:rFonts w:eastAsia="DengXian" w:cs="Arial"/>
        </w:rPr>
        <w:t>.</w:t>
      </w:r>
    </w:p>
    <w:p w:rsidR="00A83A08" w:rsidP="00C004DB" w:rsidRDefault="00A83A08" w14:paraId="3310897F" w14:textId="77777777">
      <w:pPr>
        <w:pStyle w:val="ListParagraph"/>
        <w:numPr>
          <w:ilvl w:val="0"/>
          <w:numId w:val="27"/>
        </w:numPr>
        <w:spacing w:before="120" w:after="120" w:line="240" w:lineRule="auto"/>
        <w:ind w:left="567" w:firstLine="426"/>
        <w:contextualSpacing w:val="0"/>
        <w:rPr>
          <w:rFonts w:eastAsia="DengXian" w:cs="Arial"/>
        </w:rPr>
      </w:pPr>
      <w:r>
        <w:rPr>
          <w:rFonts w:eastAsia="DengXian" w:cs="Arial"/>
        </w:rPr>
        <w:t>Graduate Teaching Assistants (employed by the University).</w:t>
      </w:r>
    </w:p>
    <w:p w:rsidRPr="00411978" w:rsidR="00A83A08" w:rsidP="00C004DB" w:rsidRDefault="00A83A08" w14:paraId="1C77997E" w14:textId="77777777">
      <w:pPr>
        <w:pStyle w:val="ListParagraph"/>
        <w:numPr>
          <w:ilvl w:val="0"/>
          <w:numId w:val="27"/>
        </w:numPr>
        <w:spacing w:before="120" w:after="120" w:line="240" w:lineRule="auto"/>
        <w:ind w:left="567" w:firstLine="426"/>
        <w:contextualSpacing w:val="0"/>
        <w:rPr>
          <w:rFonts w:eastAsia="DengXian" w:cs="Arial"/>
        </w:rPr>
      </w:pPr>
      <w:r>
        <w:rPr>
          <w:rFonts w:eastAsia="DengXian" w:cs="Arial"/>
        </w:rPr>
        <w:lastRenderedPageBreak/>
        <w:t>Postdoctoral Researchers.</w:t>
      </w:r>
    </w:p>
    <w:p w:rsidR="00A83A08" w:rsidP="00C004DB" w:rsidRDefault="00A83A08" w14:paraId="33482DC6" w14:textId="77777777">
      <w:pPr>
        <w:pStyle w:val="ListParagraph"/>
        <w:numPr>
          <w:ilvl w:val="1"/>
          <w:numId w:val="25"/>
        </w:numPr>
        <w:spacing w:before="120" w:after="120" w:line="240" w:lineRule="auto"/>
        <w:ind w:left="709" w:hanging="709"/>
        <w:rPr>
          <w:rFonts w:eastAsia="DengXian" w:cs="Arial"/>
        </w:rPr>
      </w:pPr>
      <w:r w:rsidRPr="00424F42">
        <w:rPr>
          <w:rFonts w:eastAsia="DengXian" w:cs="Arial"/>
        </w:rPr>
        <w:t xml:space="preserve">PGR GTAs will not be involved in any teaching </w:t>
      </w:r>
      <w:r>
        <w:t xml:space="preserve">support </w:t>
      </w:r>
      <w:r w:rsidRPr="00424F42">
        <w:rPr>
          <w:rFonts w:eastAsia="DengXian" w:cs="Arial"/>
        </w:rPr>
        <w:t xml:space="preserve">activity where this is prohibited by a Professional Statutory or Regulatory Body.  </w:t>
      </w:r>
    </w:p>
    <w:p w:rsidR="00A83A08" w:rsidP="00C004DB" w:rsidRDefault="00A83A08" w14:paraId="7310C4D7" w14:textId="77777777">
      <w:pPr>
        <w:pStyle w:val="ListParagraph"/>
        <w:spacing w:before="120" w:after="120" w:line="240" w:lineRule="auto"/>
        <w:ind w:left="709" w:hanging="709"/>
        <w:rPr>
          <w:rFonts w:eastAsia="DengXian" w:cs="Arial"/>
        </w:rPr>
      </w:pPr>
    </w:p>
    <w:p w:rsidRPr="00424F42" w:rsidR="00A83A08" w:rsidP="00C004DB" w:rsidRDefault="00A83A08" w14:paraId="655C69FC" w14:textId="2DE49141">
      <w:pPr>
        <w:pStyle w:val="ListParagraph"/>
        <w:numPr>
          <w:ilvl w:val="1"/>
          <w:numId w:val="25"/>
        </w:numPr>
        <w:spacing w:before="120" w:after="120" w:line="240" w:lineRule="auto"/>
        <w:ind w:left="709" w:hanging="709"/>
        <w:rPr>
          <w:rFonts w:eastAsia="DengXian" w:cs="Arial"/>
        </w:rPr>
      </w:pPr>
      <w:r w:rsidRPr="00424F42">
        <w:rPr>
          <w:rFonts w:eastAsia="DengXian" w:cs="Arial"/>
        </w:rPr>
        <w:t>PGR GTAs</w:t>
      </w:r>
      <w:r w:rsidRPr="00133F00">
        <w:t xml:space="preserve"> must not </w:t>
      </w:r>
      <w:r>
        <w:t xml:space="preserve">undertake </w:t>
      </w:r>
      <w:r w:rsidRPr="00424F42">
        <w:rPr>
          <w:rFonts w:eastAsia="DengXian" w:cs="Arial"/>
        </w:rPr>
        <w:t>teaching</w:t>
      </w:r>
      <w:r>
        <w:rPr>
          <w:rFonts w:eastAsia="DengXian" w:cs="Arial"/>
        </w:rPr>
        <w:t xml:space="preserve"> </w:t>
      </w:r>
      <w:r>
        <w:t xml:space="preserve">support </w:t>
      </w:r>
      <w:r w:rsidRPr="00424F42">
        <w:rPr>
          <w:rFonts w:eastAsia="DengXian" w:cs="Arial"/>
        </w:rPr>
        <w:t xml:space="preserve">activity </w:t>
      </w:r>
      <w:r w:rsidRPr="00133F00">
        <w:t xml:space="preserve">on any module which contributes to the </w:t>
      </w:r>
      <w:r w:rsidR="009117B6">
        <w:t>PG Certificate in Research Training</w:t>
      </w:r>
      <w:r w:rsidRPr="00133F00">
        <w:t>, to a programme on which they are registered, or to any other level 8 programme at the University of Hull.</w:t>
      </w:r>
      <w:bookmarkStart w:name="_Hlk111466265" w:id="3"/>
    </w:p>
    <w:p w:rsidR="00A83A08" w:rsidP="00C004DB" w:rsidRDefault="00A83A08" w14:paraId="255AC862" w14:textId="77777777">
      <w:pPr>
        <w:pStyle w:val="ListParagraph"/>
        <w:spacing w:before="120" w:after="120" w:line="240" w:lineRule="auto"/>
        <w:ind w:left="709" w:hanging="709"/>
        <w:rPr>
          <w:rFonts w:eastAsia="DengXian" w:cs="Arial"/>
          <w:highlight w:val="yellow"/>
        </w:rPr>
      </w:pPr>
    </w:p>
    <w:p w:rsidRPr="00926B55" w:rsidR="00A83A08" w:rsidP="00C004DB" w:rsidRDefault="00A83A08" w14:paraId="26C6174B" w14:textId="77777777">
      <w:pPr>
        <w:pStyle w:val="ListParagraph"/>
        <w:numPr>
          <w:ilvl w:val="1"/>
          <w:numId w:val="25"/>
        </w:numPr>
        <w:spacing w:before="120" w:after="120" w:line="240" w:lineRule="auto"/>
        <w:ind w:left="709" w:hanging="709"/>
        <w:rPr>
          <w:rFonts w:eastAsia="DengXian" w:cs="Arial"/>
        </w:rPr>
      </w:pPr>
      <w:r w:rsidRPr="00CE35A5">
        <w:rPr>
          <w:rFonts w:eastAsia="DengXian" w:cs="Arial"/>
        </w:rPr>
        <w:t xml:space="preserve">PGR GTAs should not </w:t>
      </w:r>
      <w:r>
        <w:t xml:space="preserve">undertake </w:t>
      </w:r>
      <w:r w:rsidRPr="00424F42">
        <w:rPr>
          <w:rFonts w:eastAsia="DengXian" w:cs="Arial"/>
        </w:rPr>
        <w:t>teaching</w:t>
      </w:r>
      <w:r>
        <w:rPr>
          <w:rFonts w:eastAsia="DengXian" w:cs="Arial"/>
        </w:rPr>
        <w:t xml:space="preserve"> </w:t>
      </w:r>
      <w:r>
        <w:t xml:space="preserve">support </w:t>
      </w:r>
      <w:r w:rsidRPr="00424F42">
        <w:rPr>
          <w:rFonts w:eastAsia="DengXian" w:cs="Arial"/>
        </w:rPr>
        <w:t xml:space="preserve">activity </w:t>
      </w:r>
      <w:r w:rsidRPr="00CE35A5">
        <w:rPr>
          <w:rFonts w:eastAsia="DengXian" w:cs="Arial"/>
        </w:rPr>
        <w:t xml:space="preserve">on Postgraduate Taught PGT (Master’s) programmes or at Level 7 of an integrated undergraduate </w:t>
      </w:r>
      <w:proofErr w:type="gramStart"/>
      <w:r w:rsidRPr="00CE35A5">
        <w:rPr>
          <w:rFonts w:eastAsia="DengXian" w:cs="Arial"/>
        </w:rPr>
        <w:t>Master’s</w:t>
      </w:r>
      <w:proofErr w:type="gramEnd"/>
      <w:r w:rsidRPr="00CE35A5">
        <w:rPr>
          <w:rFonts w:eastAsia="DengXian" w:cs="Arial"/>
        </w:rPr>
        <w:t xml:space="preserve"> programme. Exceptionally, PGR GTAs may</w:t>
      </w:r>
      <w:r>
        <w:rPr>
          <w:rFonts w:eastAsia="DengXian" w:cs="Arial"/>
        </w:rPr>
        <w:t xml:space="preserve"> act as </w:t>
      </w:r>
      <w:r w:rsidRPr="00CE35A5">
        <w:rPr>
          <w:rFonts w:eastAsia="DengXian" w:cs="Arial"/>
        </w:rPr>
        <w:t>demonstrat</w:t>
      </w:r>
      <w:r>
        <w:rPr>
          <w:rFonts w:eastAsia="DengXian" w:cs="Arial"/>
        </w:rPr>
        <w:t>ors</w:t>
      </w:r>
      <w:r w:rsidRPr="00CE35A5">
        <w:rPr>
          <w:rFonts w:eastAsia="DengXian" w:cs="Arial"/>
        </w:rPr>
        <w:t xml:space="preserve"> </w:t>
      </w:r>
      <w:r>
        <w:rPr>
          <w:rFonts w:eastAsia="DengXian" w:cs="Arial"/>
        </w:rPr>
        <w:t xml:space="preserve">and facilitate student support and learning </w:t>
      </w:r>
      <w:r w:rsidRPr="00CE35A5">
        <w:rPr>
          <w:rFonts w:eastAsia="DengXian" w:cs="Arial"/>
        </w:rPr>
        <w:t xml:space="preserve">on PGT/Level 7 programmes, if they have a </w:t>
      </w:r>
      <w:proofErr w:type="gramStart"/>
      <w:r w:rsidRPr="00CE35A5">
        <w:rPr>
          <w:rFonts w:eastAsia="DengXian" w:cs="Arial"/>
        </w:rPr>
        <w:t>Master’s</w:t>
      </w:r>
      <w:proofErr w:type="gramEnd"/>
      <w:r w:rsidRPr="00CE35A5">
        <w:rPr>
          <w:rFonts w:eastAsia="DengXian" w:cs="Arial"/>
        </w:rPr>
        <w:t xml:space="preserve"> </w:t>
      </w:r>
      <w:r>
        <w:rPr>
          <w:rFonts w:eastAsia="DengXian" w:cs="Arial"/>
        </w:rPr>
        <w:t>d</w:t>
      </w:r>
      <w:r w:rsidRPr="00CE35A5">
        <w:rPr>
          <w:rFonts w:eastAsia="DengXian" w:cs="Arial"/>
        </w:rPr>
        <w:t>egree</w:t>
      </w:r>
      <w:r>
        <w:rPr>
          <w:rFonts w:eastAsia="DengXian" w:cs="Arial"/>
        </w:rPr>
        <w:t xml:space="preserve"> or </w:t>
      </w:r>
      <w:r w:rsidRPr="00926B55">
        <w:rPr>
          <w:rFonts w:eastAsia="DengXian" w:cs="Arial"/>
        </w:rPr>
        <w:t xml:space="preserve">have successfully completed the first year of their PhD programme.  </w:t>
      </w:r>
    </w:p>
    <w:p w:rsidRPr="00424F42" w:rsidR="00A83A08" w:rsidP="00A83A08" w:rsidRDefault="00A83A08" w14:paraId="18785ADC" w14:textId="77777777">
      <w:pPr>
        <w:pStyle w:val="ListParagraph"/>
        <w:ind w:left="567" w:hanging="567"/>
        <w:rPr>
          <w:rFonts w:eastAsia="DengXian" w:cs="Arial"/>
          <w:highlight w:val="yellow"/>
        </w:rPr>
      </w:pPr>
    </w:p>
    <w:bookmarkEnd w:id="3"/>
    <w:p w:rsidRPr="00EF1223" w:rsidR="00A83A08" w:rsidP="00C004DB" w:rsidRDefault="00A83A08" w14:paraId="5C426FC1" w14:textId="77777777">
      <w:pPr>
        <w:pStyle w:val="ListParagraph"/>
        <w:numPr>
          <w:ilvl w:val="1"/>
          <w:numId w:val="25"/>
        </w:numPr>
        <w:spacing w:after="240"/>
        <w:ind w:left="709" w:hanging="709"/>
        <w:rPr>
          <w:rFonts w:eastAsia="DengXian" w:cs="Arial"/>
        </w:rPr>
      </w:pPr>
      <w:r w:rsidRPr="00EF1223">
        <w:rPr>
          <w:rFonts w:eastAsia="DengXian" w:cs="Arial"/>
        </w:rPr>
        <w:t>PGR GTAs</w:t>
      </w:r>
      <w:r w:rsidRPr="00040C44">
        <w:t xml:space="preserve"> are typically expected to have a qualification at or above the level they are teaching. Where they do not, an exceptional case can be made to the Associate Dean for Education (ADE) who</w:t>
      </w:r>
      <w:r w:rsidRPr="00EF1223">
        <w:rPr>
          <w:b/>
        </w:rPr>
        <w:t xml:space="preserve"> </w:t>
      </w:r>
      <w:r w:rsidRPr="00040C44">
        <w:t xml:space="preserve">will record the information and submit a copy to the Doctoral College. The ADE will be mindful of inclusivity issues in </w:t>
      </w:r>
      <w:r>
        <w:t>their decision-making.</w:t>
      </w:r>
      <w:r w:rsidRPr="00040C44">
        <w:t xml:space="preserve"> </w:t>
      </w:r>
    </w:p>
    <w:p w:rsidRPr="00EF1223" w:rsidR="00A83A08" w:rsidP="00A83A08" w:rsidRDefault="00A83A08" w14:paraId="7BC6240A" w14:textId="77777777">
      <w:pPr>
        <w:pStyle w:val="ListParagraph"/>
        <w:rPr>
          <w:rFonts w:eastAsia="DengXian" w:cs="Arial"/>
        </w:rPr>
      </w:pPr>
    </w:p>
    <w:p w:rsidR="00FD7549" w:rsidP="00617924" w:rsidRDefault="00117636" w14:paraId="1CCF9CA3" w14:textId="0B3C1636">
      <w:pPr>
        <w:pStyle w:val="Heading1"/>
      </w:pPr>
      <w:bookmarkStart w:name="_Toc146210429" w:id="4"/>
      <w:r>
        <w:t>Purpose</w:t>
      </w:r>
      <w:bookmarkEnd w:id="4"/>
      <w:r>
        <w:t xml:space="preserve"> </w:t>
      </w:r>
    </w:p>
    <w:p w:rsidR="00C004DB" w:rsidP="00C004DB" w:rsidRDefault="00A83A08" w14:paraId="431C0BD0" w14:textId="77777777">
      <w:pPr>
        <w:pStyle w:val="numberedmainbody"/>
        <w:spacing w:before="0" w:after="160"/>
        <w:rPr>
          <w:rFonts w:cs="Calibri"/>
        </w:rPr>
      </w:pPr>
      <w:r w:rsidRPr="003367A9">
        <w:t xml:space="preserve">The purpose of a PGR GTA scholarship is to </w:t>
      </w:r>
      <w:r>
        <w:t xml:space="preserve">invest in </w:t>
      </w:r>
      <w:r w:rsidRPr="003367A9">
        <w:t xml:space="preserve">PhD research whilst also providing structured opportunities for development and experience in learning, teaching </w:t>
      </w:r>
      <w:r>
        <w:t xml:space="preserve">support </w:t>
      </w:r>
      <w:r w:rsidRPr="003367A9">
        <w:t xml:space="preserve">and assessment. </w:t>
      </w:r>
    </w:p>
    <w:p w:rsidRPr="00C004DB" w:rsidR="00A83A08" w:rsidP="00C004DB" w:rsidRDefault="00A83A08" w14:paraId="2C594F1A" w14:textId="6CE25D23">
      <w:pPr>
        <w:pStyle w:val="numberedmainbody"/>
        <w:spacing w:before="0" w:after="160"/>
        <w:rPr>
          <w:rFonts w:cs="Calibri"/>
        </w:rPr>
      </w:pPr>
      <w:r w:rsidRPr="003367A9">
        <w:t>Scholarship holders will be registered for a PhD</w:t>
      </w:r>
      <w:r>
        <w:t xml:space="preserve"> and their status will be as a student at the </w:t>
      </w:r>
      <w:proofErr w:type="spellStart"/>
      <w:r>
        <w:t>UoH</w:t>
      </w:r>
      <w:proofErr w:type="spellEnd"/>
      <w:r>
        <w:t>. They will in no way be considered a member of staff.</w:t>
      </w:r>
    </w:p>
    <w:p w:rsidR="00A83A08" w:rsidP="00A83A08" w:rsidRDefault="00A83A08" w14:paraId="1AC33CB1" w14:textId="77777777">
      <w:pPr>
        <w:pStyle w:val="numberedmainbody"/>
        <w:rPr>
          <w:rFonts w:cs="Calibri"/>
        </w:rPr>
      </w:pPr>
      <w:r w:rsidRPr="00A83A08">
        <w:rPr>
          <w:rFonts w:cs="Calibri"/>
        </w:rPr>
        <w:t>The programme of registration will be a non-standard PhD, which for full-time candidates comprises four years of research, funded through the scholarship, and no writing-up period.</w:t>
      </w:r>
    </w:p>
    <w:p w:rsidRPr="00A83A08" w:rsidR="00A83A08" w:rsidP="00A83A08" w:rsidRDefault="00A83A08" w14:paraId="3708E2DC" w14:textId="1168CDEB">
      <w:pPr>
        <w:pStyle w:val="numberedmainbody"/>
        <w:rPr>
          <w:rFonts w:cs="Calibri"/>
        </w:rPr>
      </w:pPr>
      <w:r>
        <w:t>Alongside their PhD, they</w:t>
      </w:r>
      <w:r w:rsidRPr="003367A9">
        <w:t xml:space="preserve"> will carry out a maximum number of hours of </w:t>
      </w:r>
      <w:r>
        <w:t xml:space="preserve">demonstrating </w:t>
      </w:r>
      <w:r w:rsidRPr="003367A9">
        <w:t>or teaching</w:t>
      </w:r>
      <w:r>
        <w:t xml:space="preserve"> support </w:t>
      </w:r>
      <w:r w:rsidRPr="003367A9">
        <w:t xml:space="preserve">related activity </w:t>
      </w:r>
      <w:r w:rsidR="0042769E">
        <w:t>(</w:t>
      </w:r>
      <w:bookmarkStart w:name="_Hlk147664539" w:id="5"/>
      <w:r w:rsidR="00114F16">
        <w:t xml:space="preserve">which includes </w:t>
      </w:r>
      <w:r w:rsidR="006A0831">
        <w:t xml:space="preserve">associated </w:t>
      </w:r>
      <w:r w:rsidR="0042769E">
        <w:t>preparatory work</w:t>
      </w:r>
      <w:bookmarkEnd w:id="5"/>
      <w:r w:rsidR="0042769E">
        <w:t xml:space="preserve">) </w:t>
      </w:r>
      <w:r w:rsidRPr="003367A9">
        <w:t xml:space="preserve">per academic year, which includes:  </w:t>
      </w:r>
    </w:p>
    <w:p w:rsidRPr="003367A9" w:rsidR="00A83A08" w:rsidP="00A83A08" w:rsidRDefault="00A83A08" w14:paraId="6AF3E9CF" w14:textId="77777777">
      <w:pPr>
        <w:pStyle w:val="numberedmainbody"/>
        <w:numPr>
          <w:ilvl w:val="0"/>
          <w:numId w:val="26"/>
        </w:numPr>
        <w:spacing w:before="0" w:after="0"/>
      </w:pPr>
      <w:r w:rsidRPr="003367A9">
        <w:t>laboratory demonstrating</w:t>
      </w:r>
      <w:r>
        <w:t xml:space="preserve"> (e.g. demonstrating the use of practical equipment, software, experiments, processes within a laboratory or workshop settings to groups of students, and typically under close supervision and presence of a member of staff. This could also be in other contexts such as classes, computers labs, field trips and in the virtual environment</w:t>
      </w:r>
      <w:proofErr w:type="gramStart"/>
      <w:r>
        <w:t>)</w:t>
      </w:r>
      <w:r w:rsidRPr="003367A9">
        <w:t>;</w:t>
      </w:r>
      <w:proofErr w:type="gramEnd"/>
    </w:p>
    <w:p w:rsidR="00A83A08" w:rsidP="00A83A08" w:rsidRDefault="00A83A08" w14:paraId="2A5DACE0" w14:textId="77777777">
      <w:pPr>
        <w:pStyle w:val="numberedmainbody"/>
        <w:numPr>
          <w:ilvl w:val="0"/>
          <w:numId w:val="0"/>
        </w:numPr>
        <w:spacing w:before="0" w:after="0"/>
        <w:ind w:left="720"/>
      </w:pPr>
    </w:p>
    <w:p w:rsidRPr="003367A9" w:rsidR="00A83A08" w:rsidP="00A83A08" w:rsidRDefault="00A83A08" w14:paraId="66BDDED2" w14:textId="77777777">
      <w:pPr>
        <w:pStyle w:val="numberedmainbody"/>
        <w:numPr>
          <w:ilvl w:val="0"/>
          <w:numId w:val="26"/>
        </w:numPr>
        <w:spacing w:before="0" w:after="0"/>
      </w:pPr>
      <w:r w:rsidRPr="003367A9">
        <w:t>facilitating small group learning activities (e.g. tutorials, seminars, fieldwork group activities</w:t>
      </w:r>
      <w:proofErr w:type="gramStart"/>
      <w:r w:rsidRPr="003367A9">
        <w:t>);</w:t>
      </w:r>
      <w:proofErr w:type="gramEnd"/>
    </w:p>
    <w:p w:rsidR="00A83A08" w:rsidP="00A83A08" w:rsidRDefault="00A83A08" w14:paraId="1D1A0924" w14:textId="77777777">
      <w:pPr>
        <w:pStyle w:val="numberedmainbody"/>
        <w:numPr>
          <w:ilvl w:val="0"/>
          <w:numId w:val="0"/>
        </w:numPr>
        <w:spacing w:before="0" w:after="0"/>
        <w:ind w:left="1080"/>
      </w:pPr>
    </w:p>
    <w:p w:rsidR="00A83A08" w:rsidP="00A83A08" w:rsidRDefault="00A83A08" w14:paraId="0ADD5E4F" w14:textId="77777777">
      <w:pPr>
        <w:pStyle w:val="numberedmainbody"/>
        <w:numPr>
          <w:ilvl w:val="0"/>
          <w:numId w:val="26"/>
        </w:numPr>
        <w:spacing w:before="0" w:after="0"/>
      </w:pPr>
      <w:r w:rsidRPr="003367A9">
        <w:t>marking of formative or summative assessment (under the conditions specified in this document).</w:t>
      </w:r>
    </w:p>
    <w:p w:rsidR="00C004DB" w:rsidP="00C004DB" w:rsidRDefault="00C004DB" w14:paraId="1E54A593" w14:textId="77777777">
      <w:pPr>
        <w:pStyle w:val="numberedmainbody"/>
        <w:numPr>
          <w:ilvl w:val="0"/>
          <w:numId w:val="0"/>
        </w:numPr>
        <w:spacing w:before="0" w:after="0"/>
        <w:ind w:left="567"/>
      </w:pPr>
    </w:p>
    <w:p w:rsidR="00A83A08" w:rsidP="00C004DB" w:rsidRDefault="00A83A08" w14:paraId="2D66FA46" w14:textId="25FE0D65">
      <w:pPr>
        <w:pStyle w:val="numberedmainbody"/>
        <w:spacing w:before="0" w:after="0"/>
        <w:ind w:left="709" w:hanging="709"/>
      </w:pPr>
      <w:r w:rsidRPr="003367A9">
        <w:t>These three types of opportunity are referred to hereafter in this document as teaching</w:t>
      </w:r>
      <w:r>
        <w:t xml:space="preserve"> support activity</w:t>
      </w:r>
      <w:r w:rsidRPr="003745B0">
        <w:t>. In exceptional circumstances, experienced PGR GTAs may be asked to deliver some lectures or other larger scale learning activities.</w:t>
      </w:r>
    </w:p>
    <w:p w:rsidR="00A83A08" w:rsidP="00A83A08" w:rsidRDefault="00A83A08" w14:paraId="1ABA3B52" w14:textId="34A545BA">
      <w:pPr>
        <w:pStyle w:val="numberedmainbody"/>
      </w:pPr>
      <w:r>
        <w:t>Demonstrating or t</w:t>
      </w:r>
      <w:r w:rsidRPr="00F84BB4">
        <w:t xml:space="preserve">eaching </w:t>
      </w:r>
      <w:r>
        <w:t xml:space="preserve">support activity </w:t>
      </w:r>
      <w:r w:rsidRPr="00F84BB4">
        <w:t xml:space="preserve">commitments would average out as a maximum </w:t>
      </w:r>
      <w:r w:rsidRPr="00F84BB4">
        <w:lastRenderedPageBreak/>
        <w:t xml:space="preserve">of six hours per week over 43 weeks (258 hours per academic year). </w:t>
      </w:r>
      <w:r w:rsidRPr="00A4066C">
        <w:t xml:space="preserve">The PGR GTA scholarship would also include a requirement to complete the </w:t>
      </w:r>
      <w:r w:rsidR="009117B6">
        <w:t>PG Certificate in Research Training</w:t>
      </w:r>
      <w:r>
        <w:t>, which equates to 60 credits.</w:t>
      </w:r>
      <w:r w:rsidRPr="00A4066C">
        <w:t xml:space="preserve">  </w:t>
      </w:r>
      <w:r>
        <w:t xml:space="preserve">Any optional meetings, skills enhancement, personal development or Continuous Professional Development (CPD) opportunities will not fall within the maximum hours. </w:t>
      </w:r>
    </w:p>
    <w:p w:rsidR="00A83A08" w:rsidP="00A83A08" w:rsidRDefault="00A83A08" w14:paraId="290A0CA9" w14:textId="77777777">
      <w:pPr>
        <w:pStyle w:val="numberedmainbody"/>
        <w:rPr>
          <w:rFonts w:cs="Calibri"/>
        </w:rPr>
      </w:pPr>
      <w:r w:rsidRPr="00F84BB4">
        <w:rPr>
          <w:rFonts w:cs="Calibri"/>
        </w:rPr>
        <w:t xml:space="preserve">A PGR GTA scholarship will comprise </w:t>
      </w:r>
      <w:r>
        <w:rPr>
          <w:rFonts w:cs="Calibri"/>
        </w:rPr>
        <w:t xml:space="preserve">a </w:t>
      </w:r>
      <w:r w:rsidRPr="00F84BB4">
        <w:rPr>
          <w:rFonts w:cs="Calibri"/>
        </w:rPr>
        <w:t>tuition fee waiver and maintenance grant (stipend) for the research period of their PhD</w:t>
      </w:r>
      <w:r>
        <w:rPr>
          <w:rFonts w:cs="Calibri"/>
        </w:rPr>
        <w:t xml:space="preserve">, which will be full-time and four years in length. </w:t>
      </w:r>
      <w:r w:rsidRPr="00F84BB4">
        <w:rPr>
          <w:rFonts w:cs="Calibri"/>
        </w:rPr>
        <w:t xml:space="preserve">The teaching </w:t>
      </w:r>
      <w:r>
        <w:rPr>
          <w:rFonts w:cs="Calibri"/>
        </w:rPr>
        <w:t xml:space="preserve">support activity </w:t>
      </w:r>
      <w:r w:rsidRPr="00F84BB4">
        <w:rPr>
          <w:rFonts w:cs="Calibri"/>
        </w:rPr>
        <w:t xml:space="preserve">will form part of the scholarship award. </w:t>
      </w:r>
    </w:p>
    <w:p w:rsidRPr="008967EB" w:rsidR="00C004DB" w:rsidP="00A83A08" w:rsidRDefault="00A83A08" w14:paraId="1A12F719" w14:textId="4707BEDD">
      <w:pPr>
        <w:pStyle w:val="numberedmainbody"/>
        <w:rPr>
          <w:rFonts w:cs="Calibri"/>
        </w:rPr>
      </w:pPr>
      <w:r w:rsidRPr="00E92EB8">
        <w:t xml:space="preserve">GTA activities should not compromise a </w:t>
      </w:r>
      <w:r>
        <w:t xml:space="preserve">PGR’s </w:t>
      </w:r>
      <w:r w:rsidRPr="00E92EB8">
        <w:t xml:space="preserve">ability to complete their PhD within the timescales set out in the University's PhD Regulations, and </w:t>
      </w:r>
      <w:r>
        <w:t xml:space="preserve">PGRs </w:t>
      </w:r>
      <w:r w:rsidRPr="00E92EB8">
        <w:t>will be expected to meet the standard milestones and timescales in the Regulations.</w:t>
      </w:r>
    </w:p>
    <w:p w:rsidRPr="00DF38D3" w:rsidR="008967EB" w:rsidP="008967EB" w:rsidRDefault="008967EB" w14:paraId="19E65B78" w14:textId="77777777">
      <w:pPr>
        <w:pStyle w:val="numberedmainbody"/>
        <w:rPr>
          <w:rFonts w:eastAsia="DengXian"/>
        </w:rPr>
      </w:pPr>
      <w:r>
        <w:t xml:space="preserve">This Policy is underpinned by a number of key principles, expectations and requirements which are </w:t>
      </w:r>
      <w:proofErr w:type="spellStart"/>
      <w:r>
        <w:t>summarised</w:t>
      </w:r>
      <w:proofErr w:type="spellEnd"/>
      <w:r>
        <w:t xml:space="preserve"> below in Sections 4 - 17 below.  </w:t>
      </w:r>
    </w:p>
    <w:p w:rsidRPr="00DF38D3" w:rsidR="00DF38D3" w:rsidP="00DF38D3" w:rsidRDefault="00DF38D3" w14:paraId="577EF28B" w14:textId="77777777">
      <w:pPr>
        <w:pStyle w:val="numberedmainbody"/>
        <w:rPr>
          <w:rFonts w:eastAsia="DengXian"/>
        </w:rPr>
      </w:pPr>
      <w:proofErr w:type="gramStart"/>
      <w:r w:rsidRPr="00424F42">
        <w:rPr>
          <w:rFonts w:eastAsia="DengXian"/>
        </w:rPr>
        <w:t>For the purpose of</w:t>
      </w:r>
      <w:proofErr w:type="gramEnd"/>
      <w:r w:rsidRPr="00424F42">
        <w:rPr>
          <w:rFonts w:eastAsia="DengXian"/>
        </w:rPr>
        <w:t xml:space="preserve"> this Policy, </w:t>
      </w:r>
      <w:r>
        <w:rPr>
          <w:rFonts w:eastAsia="DengXian"/>
        </w:rPr>
        <w:t>‘</w:t>
      </w:r>
      <w:r w:rsidRPr="00C004DB">
        <w:t>Academic Unit</w:t>
      </w:r>
      <w:r>
        <w:t>’</w:t>
      </w:r>
      <w:r w:rsidRPr="00424F42">
        <w:rPr>
          <w:sz w:val="24"/>
        </w:rPr>
        <w:t xml:space="preserve"> </w:t>
      </w:r>
      <w:r w:rsidRPr="00CC2D05">
        <w:t xml:space="preserve">refers to </w:t>
      </w:r>
      <w:r>
        <w:t xml:space="preserve">department, school, faculty or institute. </w:t>
      </w:r>
    </w:p>
    <w:p w:rsidR="008A24D4" w:rsidP="00617924" w:rsidRDefault="00C004DB" w14:paraId="1FAC9501" w14:textId="47E1654B">
      <w:pPr>
        <w:pStyle w:val="Heading1"/>
      </w:pPr>
      <w:bookmarkStart w:name="_Toc146210430" w:id="6"/>
      <w:r>
        <w:t xml:space="preserve">Faculty leadership responsibilities – making the </w:t>
      </w:r>
      <w:r w:rsidR="006D128F">
        <w:t>p</w:t>
      </w:r>
      <w:r>
        <w:t>olicy work</w:t>
      </w:r>
      <w:bookmarkEnd w:id="6"/>
      <w:r>
        <w:t xml:space="preserve"> </w:t>
      </w:r>
    </w:p>
    <w:p w:rsidR="00C004DB" w:rsidP="00C004DB" w:rsidRDefault="00C004DB" w14:paraId="3589258F" w14:textId="4D66EC31">
      <w:pPr>
        <w:pStyle w:val="numberedmainbody"/>
      </w:pPr>
      <w:r>
        <w:t xml:space="preserve">Ultimately, the senior academic leadership team within each faculty/institute is responsible for ensuring that a fair and equitable system of providing opportunities for </w:t>
      </w:r>
      <w:r w:rsidRPr="00C004DB">
        <w:rPr>
          <w:rFonts w:eastAsia="DengXian"/>
        </w:rPr>
        <w:t xml:space="preserve">PGR GTAs </w:t>
      </w:r>
      <w:r>
        <w:t xml:space="preserve">is supported, </w:t>
      </w:r>
      <w:proofErr w:type="spellStart"/>
      <w:r>
        <w:t>recognised</w:t>
      </w:r>
      <w:proofErr w:type="spellEnd"/>
      <w:r>
        <w:t xml:space="preserve">, embedded, and managed across their faculty/institute.  Associate Deans for both Education and Research (and their Institute equivalents) will work closely to support Heads of Academic Units and Graduate Research Directors/PGR Directors/PGR Tutors/Graduate Research Officers to make the scheme successful.  </w:t>
      </w:r>
    </w:p>
    <w:p w:rsidR="00C004DB" w:rsidP="00C004DB" w:rsidRDefault="00C004DB" w14:paraId="71980A02" w14:textId="77777777">
      <w:pPr>
        <w:pStyle w:val="numberedmainbody"/>
      </w:pPr>
      <w:r>
        <w:t xml:space="preserve">Graduate Research Directors/PGR Directors/PGR Tutors/Graduate Research Officers with their existing responsibility for PGRs within Academic Units will play a crucial role as the lead for this area. They will have day-to-day oversight of </w:t>
      </w:r>
      <w:r w:rsidRPr="005B0182">
        <w:t xml:space="preserve">the role that </w:t>
      </w:r>
      <w:r w:rsidRPr="002E35F4">
        <w:rPr>
          <w:rFonts w:eastAsia="DengXian"/>
        </w:rPr>
        <w:t>PGR GTAs</w:t>
      </w:r>
      <w:r w:rsidRPr="005B0182">
        <w:t xml:space="preserve"> play in the delivery of teaching support </w:t>
      </w:r>
      <w:r>
        <w:t xml:space="preserve">activity across </w:t>
      </w:r>
      <w:r w:rsidRPr="005B0182">
        <w:t>th</w:t>
      </w:r>
      <w:r>
        <w:t xml:space="preserve">e </w:t>
      </w:r>
      <w:proofErr w:type="spellStart"/>
      <w:r>
        <w:t>programmes</w:t>
      </w:r>
      <w:proofErr w:type="spellEnd"/>
      <w:r>
        <w:t xml:space="preserve"> in their Academic Unit. They will work closely with their </w:t>
      </w:r>
      <w:r w:rsidRPr="005B0182">
        <w:t xml:space="preserve">Head of </w:t>
      </w:r>
      <w:r>
        <w:t xml:space="preserve">Academic Unit, Module Leaders, PGR Supervisors and other members of staff to ensure that opportunities for PGR GTAs are identified, advertised, recruited to and managed effectively and in accordance with this Policy. </w:t>
      </w:r>
    </w:p>
    <w:p w:rsidR="00C004DB" w:rsidP="00C004DB" w:rsidRDefault="00C004DB" w14:paraId="3B4DA119" w14:textId="77777777">
      <w:pPr>
        <w:pStyle w:val="numberedmainbody"/>
      </w:pPr>
      <w:r>
        <w:t xml:space="preserve">PGR Supervisors already play a key role in discussing career development with the PGRs they supervise. This should include career development in relation to opportunities for PGRs to support learning and teaching. Their responsibility extends to ensuring that PGR GTAs are signposted to the relevant training, development and procedures for participating in the scheme. </w:t>
      </w:r>
      <w:bookmarkStart w:name="_Hlk94525953" w:id="7"/>
    </w:p>
    <w:p w:rsidR="009666BD" w:rsidP="009666BD" w:rsidRDefault="00DF38D3" w14:paraId="25D5A6C7" w14:textId="43D6E6D3">
      <w:pPr>
        <w:pStyle w:val="Heading1"/>
      </w:pPr>
      <w:bookmarkStart w:name="_Toc146210431" w:id="8"/>
      <w:bookmarkEnd w:id="7"/>
      <w:r>
        <w:t>Role and status of a PGR GTA</w:t>
      </w:r>
      <w:bookmarkEnd w:id="8"/>
      <w:r>
        <w:t xml:space="preserve"> </w:t>
      </w:r>
      <w:r w:rsidR="00C004DB">
        <w:t xml:space="preserve"> </w:t>
      </w:r>
    </w:p>
    <w:p w:rsidR="00DF38D3" w:rsidP="00DF38D3" w:rsidRDefault="00C004DB" w14:paraId="0D76A26A" w14:textId="3DC6F286">
      <w:pPr>
        <w:pStyle w:val="ListParagraph"/>
        <w:numPr>
          <w:ilvl w:val="1"/>
          <w:numId w:val="28"/>
        </w:numPr>
        <w:ind w:left="709" w:hanging="709"/>
      </w:pPr>
      <w:r>
        <w:t xml:space="preserve">PGR GTAs are registered students at the </w:t>
      </w:r>
      <w:proofErr w:type="spellStart"/>
      <w:r>
        <w:t>U</w:t>
      </w:r>
      <w:r w:rsidR="00C63CAD">
        <w:t>oH</w:t>
      </w:r>
      <w:proofErr w:type="spellEnd"/>
      <w:r w:rsidR="00C63CAD">
        <w:t xml:space="preserve">. </w:t>
      </w:r>
      <w:r>
        <w:t>Their status is therefore that of a student and not a member of staff.</w:t>
      </w:r>
    </w:p>
    <w:p w:rsidR="00DF38D3" w:rsidP="00DF38D3" w:rsidRDefault="00DF38D3" w14:paraId="5E6C139C" w14:textId="77777777">
      <w:pPr>
        <w:pStyle w:val="ListParagraph"/>
        <w:ind w:left="568"/>
      </w:pPr>
    </w:p>
    <w:p w:rsidR="00C004DB" w:rsidP="005F5BDD" w:rsidRDefault="00C004DB" w14:paraId="251FAE37" w14:textId="5A5F1A09">
      <w:pPr>
        <w:pStyle w:val="ListParagraph"/>
        <w:numPr>
          <w:ilvl w:val="1"/>
          <w:numId w:val="28"/>
        </w:numPr>
        <w:ind w:left="709" w:hanging="709"/>
      </w:pPr>
      <w:r>
        <w:t xml:space="preserve">PGR GTAs can be involved in a range of teaching support activities subject to them completing the relevant training and meeting the relevant conditions specified in this Policy.  </w:t>
      </w:r>
    </w:p>
    <w:p w:rsidRPr="003D4D9C" w:rsidR="00C004DB" w:rsidP="00C004DB" w:rsidRDefault="00C004DB" w14:paraId="4B6B31FC" w14:textId="77777777">
      <w:pPr>
        <w:pStyle w:val="ListParagraph"/>
        <w:rPr>
          <w:rFonts w:eastAsia="Arial" w:cstheme="minorHAnsi"/>
        </w:rPr>
      </w:pPr>
    </w:p>
    <w:p w:rsidRPr="003D4D9C" w:rsidR="00C004DB" w:rsidP="005F5BDD" w:rsidRDefault="00C004DB" w14:paraId="6A696301" w14:textId="77777777">
      <w:pPr>
        <w:pStyle w:val="ListParagraph"/>
        <w:numPr>
          <w:ilvl w:val="1"/>
          <w:numId w:val="28"/>
        </w:numPr>
        <w:tabs>
          <w:tab w:val="left" w:pos="709"/>
        </w:tabs>
        <w:spacing w:after="240"/>
        <w:ind w:left="709" w:hanging="709"/>
      </w:pPr>
      <w:r w:rsidRPr="003D4D9C">
        <w:rPr>
          <w:rFonts w:eastAsia="Arial" w:cstheme="minorHAnsi"/>
        </w:rPr>
        <w:t>A PGR GTA is a developmental post for recent graduates who are undertaking a PhD.  This post is suitable for those planning to train and develop their teaching and research skills so that they may take on more senior teaching and research posts in the future.</w:t>
      </w:r>
    </w:p>
    <w:p w:rsidRPr="003D4D9C" w:rsidR="00C004DB" w:rsidP="005F5BDD" w:rsidRDefault="00C004DB" w14:paraId="68080669" w14:textId="77777777">
      <w:pPr>
        <w:pStyle w:val="ListParagraph"/>
        <w:tabs>
          <w:tab w:val="left" w:pos="709"/>
        </w:tabs>
        <w:ind w:left="709" w:hanging="709"/>
        <w:rPr>
          <w:rFonts w:eastAsia="Arial" w:cstheme="minorHAnsi"/>
        </w:rPr>
      </w:pPr>
    </w:p>
    <w:p w:rsidRPr="00DB5B95" w:rsidR="00C004DB" w:rsidP="005F5BDD" w:rsidRDefault="00C004DB" w14:paraId="16EADD50" w14:textId="77777777">
      <w:pPr>
        <w:pStyle w:val="ListParagraph"/>
        <w:numPr>
          <w:ilvl w:val="1"/>
          <w:numId w:val="28"/>
        </w:numPr>
        <w:tabs>
          <w:tab w:val="left" w:pos="709"/>
        </w:tabs>
        <w:spacing w:after="240"/>
        <w:ind w:left="709" w:hanging="709"/>
      </w:pPr>
      <w:r w:rsidRPr="003D4D9C">
        <w:rPr>
          <w:rFonts w:eastAsia="Arial" w:cstheme="minorHAnsi"/>
        </w:rPr>
        <w:lastRenderedPageBreak/>
        <w:t>The PGR GTA at this level assists other academic staff members in the University by performing teaching</w:t>
      </w:r>
      <w:r>
        <w:rPr>
          <w:rFonts w:eastAsia="Arial" w:cstheme="minorHAnsi"/>
        </w:rPr>
        <w:t xml:space="preserve"> support activity. </w:t>
      </w:r>
      <w:r w:rsidRPr="003D4D9C">
        <w:rPr>
          <w:rFonts w:eastAsia="Arial" w:cstheme="minorHAnsi"/>
        </w:rPr>
        <w:t>They will receive close supervision and direction from more senior colleagues and will receive academic and pastoral support and guidance which may include specific training, career counselling and mentoring.</w:t>
      </w:r>
    </w:p>
    <w:p w:rsidR="00C004DB" w:rsidP="005F5BDD" w:rsidRDefault="00C004DB" w14:paraId="4B390082" w14:textId="77777777">
      <w:pPr>
        <w:pStyle w:val="ListParagraph"/>
        <w:ind w:left="709"/>
      </w:pPr>
    </w:p>
    <w:p w:rsidR="00C004DB" w:rsidP="005F5BDD" w:rsidRDefault="00C004DB" w14:paraId="64D548C7" w14:textId="77777777">
      <w:pPr>
        <w:pStyle w:val="ListParagraph"/>
        <w:numPr>
          <w:ilvl w:val="1"/>
          <w:numId w:val="28"/>
        </w:numPr>
        <w:spacing w:after="240"/>
        <w:ind w:left="709" w:hanging="709"/>
      </w:pPr>
      <w:r>
        <w:t xml:space="preserve">The main tasks and duties associated with a PGR GTA role include: </w:t>
      </w:r>
    </w:p>
    <w:p w:rsidRPr="00BD25DB" w:rsidR="00C004DB" w:rsidP="00C004DB" w:rsidRDefault="00C004DB" w14:paraId="6555D40E" w14:textId="77777777">
      <w:pPr>
        <w:pStyle w:val="Body"/>
        <w:numPr>
          <w:ilvl w:val="0"/>
          <w:numId w:val="29"/>
        </w:numPr>
        <w:spacing w:after="0" w:line="240" w:lineRule="atLeast"/>
        <w:ind w:left="1434" w:hanging="357"/>
        <w:jc w:val="both"/>
        <w:rPr>
          <w:rFonts w:eastAsia="Arial" w:asciiTheme="minorHAnsi" w:hAnsiTheme="minorHAnsi" w:cstheme="minorHAnsi"/>
        </w:rPr>
      </w:pPr>
      <w:r w:rsidRPr="00CC1E1D">
        <w:rPr>
          <w:rFonts w:asciiTheme="minorHAnsi" w:hAnsiTheme="minorHAnsi" w:cstheme="minorHAnsi"/>
        </w:rPr>
        <w:t>Undertak</w:t>
      </w:r>
      <w:r>
        <w:rPr>
          <w:rFonts w:asciiTheme="minorHAnsi" w:hAnsiTheme="minorHAnsi" w:cstheme="minorHAnsi"/>
        </w:rPr>
        <w:t>ing</w:t>
      </w:r>
      <w:r w:rsidRPr="00CC1E1D">
        <w:rPr>
          <w:rFonts w:asciiTheme="minorHAnsi" w:hAnsiTheme="minorHAnsi" w:cstheme="minorHAnsi"/>
        </w:rPr>
        <w:t xml:space="preserve"> </w:t>
      </w:r>
      <w:r>
        <w:rPr>
          <w:rFonts w:asciiTheme="minorHAnsi" w:hAnsiTheme="minorHAnsi" w:cstheme="minorHAnsi"/>
        </w:rPr>
        <w:t>the requisite amount of research and study to achieve the PhD award.</w:t>
      </w:r>
      <w:r w:rsidRPr="00CC1E1D">
        <w:rPr>
          <w:rFonts w:asciiTheme="minorHAnsi" w:hAnsiTheme="minorHAnsi" w:cstheme="minorHAnsi"/>
        </w:rPr>
        <w:t xml:space="preserve"> </w:t>
      </w:r>
    </w:p>
    <w:p w:rsidRPr="003473F1" w:rsidR="00C004DB" w:rsidP="00C004DB" w:rsidRDefault="00C004DB" w14:paraId="28B50E28" w14:textId="4370C59D">
      <w:pPr>
        <w:pStyle w:val="Body"/>
        <w:numPr>
          <w:ilvl w:val="0"/>
          <w:numId w:val="29"/>
        </w:numPr>
        <w:spacing w:after="0" w:line="240" w:lineRule="atLeast"/>
        <w:ind w:left="1434" w:hanging="357"/>
        <w:jc w:val="both"/>
        <w:rPr>
          <w:rFonts w:eastAsia="Arial" w:asciiTheme="minorHAnsi" w:hAnsiTheme="minorHAnsi" w:cstheme="minorHAnsi"/>
        </w:rPr>
      </w:pPr>
      <w:r w:rsidRPr="003473F1">
        <w:rPr>
          <w:rFonts w:eastAsia="Arial" w:asciiTheme="minorHAnsi" w:hAnsiTheme="minorHAnsi" w:cstheme="minorHAnsi"/>
        </w:rPr>
        <w:t xml:space="preserve">Completion of the </w:t>
      </w:r>
      <w:r w:rsidR="002F3DA1">
        <w:rPr>
          <w:rFonts w:eastAsia="Arial" w:asciiTheme="minorHAnsi" w:hAnsiTheme="minorHAnsi" w:cstheme="minorHAnsi"/>
        </w:rPr>
        <w:t>PG Certificate in Research Training as part of the PGR Development Programme</w:t>
      </w:r>
      <w:r w:rsidRPr="003473F1">
        <w:rPr>
          <w:rFonts w:eastAsia="Arial" w:asciiTheme="minorHAnsi" w:hAnsiTheme="minorHAnsi" w:cstheme="minorHAnsi"/>
        </w:rPr>
        <w:t xml:space="preserve">. </w:t>
      </w:r>
    </w:p>
    <w:p w:rsidRPr="00CC1E1D" w:rsidR="00C004DB" w:rsidP="00C004DB" w:rsidRDefault="00C004DB" w14:paraId="44ECCBAE" w14:textId="098B127C">
      <w:pPr>
        <w:pStyle w:val="Body"/>
        <w:numPr>
          <w:ilvl w:val="0"/>
          <w:numId w:val="29"/>
        </w:numPr>
        <w:spacing w:after="0" w:line="240" w:lineRule="atLeast"/>
        <w:ind w:left="1434" w:hanging="357"/>
        <w:jc w:val="both"/>
        <w:rPr>
          <w:rFonts w:eastAsia="Arial" w:asciiTheme="minorHAnsi" w:hAnsiTheme="minorHAnsi" w:cstheme="minorHAnsi"/>
        </w:rPr>
      </w:pPr>
      <w:r w:rsidRPr="00CC1E1D">
        <w:rPr>
          <w:rFonts w:asciiTheme="minorHAnsi" w:hAnsiTheme="minorHAnsi" w:cstheme="minorHAnsi"/>
        </w:rPr>
        <w:t>Undertak</w:t>
      </w:r>
      <w:r>
        <w:rPr>
          <w:rFonts w:asciiTheme="minorHAnsi" w:hAnsiTheme="minorHAnsi" w:cstheme="minorHAnsi"/>
        </w:rPr>
        <w:t>ing</w:t>
      </w:r>
      <w:r w:rsidRPr="00CC1E1D">
        <w:rPr>
          <w:rFonts w:asciiTheme="minorHAnsi" w:hAnsiTheme="minorHAnsi" w:cstheme="minorHAnsi"/>
        </w:rPr>
        <w:t xml:space="preserve"> regular </w:t>
      </w:r>
      <w:r>
        <w:rPr>
          <w:rFonts w:asciiTheme="minorHAnsi" w:hAnsiTheme="minorHAnsi" w:cstheme="minorHAnsi"/>
        </w:rPr>
        <w:t xml:space="preserve">demonstrating and </w:t>
      </w:r>
      <w:r w:rsidRPr="00CC1E1D">
        <w:rPr>
          <w:rFonts w:asciiTheme="minorHAnsi" w:hAnsiTheme="minorHAnsi" w:cstheme="minorHAnsi"/>
        </w:rPr>
        <w:t>teaching</w:t>
      </w:r>
      <w:r>
        <w:rPr>
          <w:rFonts w:asciiTheme="minorHAnsi" w:hAnsiTheme="minorHAnsi" w:cstheme="minorHAnsi"/>
        </w:rPr>
        <w:t xml:space="preserve"> support activitie</w:t>
      </w:r>
      <w:r w:rsidR="00E4564F">
        <w:rPr>
          <w:rFonts w:asciiTheme="minorHAnsi" w:hAnsiTheme="minorHAnsi" w:cstheme="minorHAnsi"/>
        </w:rPr>
        <w:t xml:space="preserve">s </w:t>
      </w:r>
      <w:r w:rsidRPr="00CC1E1D">
        <w:rPr>
          <w:rFonts w:asciiTheme="minorHAnsi" w:hAnsiTheme="minorHAnsi" w:cstheme="minorHAnsi"/>
        </w:rPr>
        <w:t xml:space="preserve">to small groups of undergraduate </w:t>
      </w:r>
      <w:r>
        <w:rPr>
          <w:rFonts w:asciiTheme="minorHAnsi" w:hAnsiTheme="minorHAnsi" w:cstheme="minorHAnsi"/>
        </w:rPr>
        <w:t xml:space="preserve">or postgraduate </w:t>
      </w:r>
      <w:r w:rsidRPr="00CC1E1D">
        <w:rPr>
          <w:rFonts w:asciiTheme="minorHAnsi" w:hAnsiTheme="minorHAnsi" w:cstheme="minorHAnsi"/>
        </w:rPr>
        <w:t>students under the direction of senior members of staff</w:t>
      </w:r>
      <w:r>
        <w:rPr>
          <w:rFonts w:asciiTheme="minorHAnsi" w:hAnsiTheme="minorHAnsi" w:cstheme="minorHAnsi"/>
        </w:rPr>
        <w:t>.</w:t>
      </w:r>
    </w:p>
    <w:p w:rsidRPr="00CC1E1D" w:rsidR="00C004DB" w:rsidP="00C004DB" w:rsidRDefault="00C004DB" w14:paraId="4B4EA010" w14:textId="77777777">
      <w:pPr>
        <w:pStyle w:val="Body"/>
        <w:numPr>
          <w:ilvl w:val="0"/>
          <w:numId w:val="29"/>
        </w:numPr>
        <w:spacing w:after="0" w:line="240" w:lineRule="atLeast"/>
        <w:ind w:left="1434" w:hanging="357"/>
        <w:jc w:val="both"/>
        <w:rPr>
          <w:rFonts w:eastAsia="Arial" w:asciiTheme="minorHAnsi" w:hAnsiTheme="minorHAnsi" w:cstheme="minorHAnsi"/>
        </w:rPr>
      </w:pPr>
      <w:r w:rsidRPr="00CC1E1D">
        <w:rPr>
          <w:rFonts w:asciiTheme="minorHAnsi" w:hAnsiTheme="minorHAnsi" w:cstheme="minorHAnsi"/>
        </w:rPr>
        <w:t>Develop teaching materials</w:t>
      </w:r>
      <w:r>
        <w:rPr>
          <w:rFonts w:asciiTheme="minorHAnsi" w:hAnsiTheme="minorHAnsi" w:cstheme="minorHAnsi"/>
        </w:rPr>
        <w:t xml:space="preserve"> as required.</w:t>
      </w:r>
    </w:p>
    <w:p w:rsidRPr="00CC1E1D" w:rsidR="00C004DB" w:rsidP="00C004DB" w:rsidRDefault="00C004DB" w14:paraId="225F5517" w14:textId="77777777">
      <w:pPr>
        <w:pStyle w:val="Body"/>
        <w:numPr>
          <w:ilvl w:val="0"/>
          <w:numId w:val="30"/>
        </w:numPr>
        <w:spacing w:after="0" w:line="240" w:lineRule="auto"/>
        <w:ind w:left="1437" w:hanging="360"/>
        <w:jc w:val="both"/>
        <w:rPr>
          <w:rFonts w:eastAsia="Arial" w:asciiTheme="minorHAnsi" w:hAnsiTheme="minorHAnsi" w:cstheme="minorHAnsi"/>
        </w:rPr>
      </w:pPr>
      <w:r w:rsidRPr="00CC1E1D">
        <w:rPr>
          <w:rFonts w:asciiTheme="minorHAnsi" w:hAnsiTheme="minorHAnsi" w:cstheme="minorHAnsi"/>
        </w:rPr>
        <w:t>Reflect on practice and the development of own teaching and learning skills</w:t>
      </w:r>
      <w:r>
        <w:rPr>
          <w:rFonts w:asciiTheme="minorHAnsi" w:hAnsiTheme="minorHAnsi" w:cstheme="minorHAnsi"/>
        </w:rPr>
        <w:t>.</w:t>
      </w:r>
      <w:r w:rsidRPr="00CC1E1D">
        <w:rPr>
          <w:rFonts w:asciiTheme="minorHAnsi" w:hAnsiTheme="minorHAnsi" w:cstheme="minorHAnsi"/>
        </w:rPr>
        <w:t xml:space="preserve"> </w:t>
      </w:r>
    </w:p>
    <w:p w:rsidRPr="00CC1E1D" w:rsidR="00C004DB" w:rsidP="00C004DB" w:rsidRDefault="00C004DB" w14:paraId="3E500D93" w14:textId="77777777">
      <w:pPr>
        <w:pStyle w:val="Body"/>
        <w:widowControl w:val="0"/>
        <w:numPr>
          <w:ilvl w:val="0"/>
          <w:numId w:val="31"/>
        </w:numPr>
        <w:spacing w:after="0" w:line="240" w:lineRule="auto"/>
        <w:ind w:left="1434" w:hanging="357"/>
        <w:jc w:val="both"/>
        <w:rPr>
          <w:rFonts w:eastAsia="Arial" w:asciiTheme="minorHAnsi" w:hAnsiTheme="minorHAnsi" w:cstheme="minorHAnsi"/>
        </w:rPr>
      </w:pPr>
      <w:r w:rsidRPr="00CC1E1D">
        <w:rPr>
          <w:rFonts w:asciiTheme="minorHAnsi" w:hAnsiTheme="minorHAnsi" w:cstheme="minorHAnsi"/>
        </w:rPr>
        <w:t>Where appropriate, and with guidance from more senior colleagues provide feedback to students on their progress</w:t>
      </w:r>
      <w:r>
        <w:rPr>
          <w:rFonts w:asciiTheme="minorHAnsi" w:hAnsiTheme="minorHAnsi" w:cstheme="minorHAnsi"/>
        </w:rPr>
        <w:t>.</w:t>
      </w:r>
      <w:r w:rsidRPr="00CC1E1D">
        <w:rPr>
          <w:rFonts w:asciiTheme="minorHAnsi" w:hAnsiTheme="minorHAnsi" w:cstheme="minorHAnsi"/>
        </w:rPr>
        <w:t xml:space="preserve"> </w:t>
      </w:r>
    </w:p>
    <w:p w:rsidRPr="00CC1E1D" w:rsidR="00C004DB" w:rsidP="00C004DB" w:rsidRDefault="00C004DB" w14:paraId="20259F6A" w14:textId="77777777">
      <w:pPr>
        <w:pStyle w:val="ListParagraph"/>
        <w:numPr>
          <w:ilvl w:val="0"/>
          <w:numId w:val="32"/>
        </w:numPr>
        <w:pBdr>
          <w:top w:val="nil"/>
          <w:left w:val="nil"/>
          <w:bottom w:val="nil"/>
          <w:right w:val="nil"/>
          <w:between w:val="nil"/>
          <w:bar w:val="nil"/>
        </w:pBdr>
        <w:spacing w:after="0" w:line="240" w:lineRule="auto"/>
        <w:ind w:left="1402" w:hanging="325"/>
        <w:contextualSpacing w:val="0"/>
        <w:rPr>
          <w:rFonts w:eastAsia="Arial" w:cstheme="minorHAnsi"/>
        </w:rPr>
      </w:pPr>
      <w:r w:rsidRPr="00CC1E1D">
        <w:rPr>
          <w:rFonts w:cstheme="minorHAnsi"/>
        </w:rPr>
        <w:t>Attend regular supervisory</w:t>
      </w:r>
      <w:r>
        <w:rPr>
          <w:rFonts w:cstheme="minorHAnsi"/>
        </w:rPr>
        <w:t xml:space="preserve"> and monitoring and progression</w:t>
      </w:r>
      <w:r w:rsidRPr="00CC1E1D">
        <w:rPr>
          <w:rFonts w:cstheme="minorHAnsi"/>
        </w:rPr>
        <w:t xml:space="preserve"> meetings and document progress with the agreed programme of research study</w:t>
      </w:r>
      <w:r>
        <w:rPr>
          <w:rFonts w:cstheme="minorHAnsi"/>
        </w:rPr>
        <w:t>, as per the Code of Practice Postgraduate Research Students and the PhD programme regulations.</w:t>
      </w:r>
    </w:p>
    <w:p w:rsidRPr="00CC1E1D" w:rsidR="00C004DB" w:rsidP="00C004DB" w:rsidRDefault="00C004DB" w14:paraId="5E616545" w14:textId="77777777">
      <w:pPr>
        <w:pStyle w:val="ListParagraph"/>
        <w:numPr>
          <w:ilvl w:val="0"/>
          <w:numId w:val="32"/>
        </w:numPr>
        <w:pBdr>
          <w:top w:val="nil"/>
          <w:left w:val="nil"/>
          <w:bottom w:val="nil"/>
          <w:right w:val="nil"/>
          <w:between w:val="nil"/>
          <w:bar w:val="nil"/>
        </w:pBdr>
        <w:spacing w:after="0" w:line="240" w:lineRule="auto"/>
        <w:ind w:left="1402" w:hanging="325"/>
        <w:contextualSpacing w:val="0"/>
        <w:rPr>
          <w:rFonts w:eastAsia="Arial" w:cstheme="minorHAnsi"/>
        </w:rPr>
      </w:pPr>
      <w:r w:rsidRPr="00CC1E1D">
        <w:rPr>
          <w:rFonts w:cstheme="minorHAnsi"/>
        </w:rPr>
        <w:t>Propose, plan and conduct postgraduate research studies in a safe and ethically appropriate manner.</w:t>
      </w:r>
    </w:p>
    <w:p w:rsidRPr="00BE7262" w:rsidR="00C004DB" w:rsidP="00C004DB" w:rsidRDefault="00C004DB" w14:paraId="5976F802" w14:textId="77777777">
      <w:pPr>
        <w:pStyle w:val="ListParagraph"/>
        <w:numPr>
          <w:ilvl w:val="0"/>
          <w:numId w:val="32"/>
        </w:numPr>
        <w:pBdr>
          <w:top w:val="nil"/>
          <w:left w:val="nil"/>
          <w:bottom w:val="nil"/>
          <w:right w:val="nil"/>
          <w:between w:val="nil"/>
          <w:bar w:val="nil"/>
        </w:pBdr>
        <w:spacing w:after="0" w:line="240" w:lineRule="auto"/>
        <w:ind w:left="1402" w:hanging="325"/>
        <w:contextualSpacing w:val="0"/>
        <w:rPr>
          <w:rFonts w:eastAsia="Arial" w:cstheme="minorHAnsi"/>
        </w:rPr>
      </w:pPr>
      <w:r w:rsidRPr="00CC1E1D">
        <w:rPr>
          <w:rFonts w:cstheme="minorHAnsi"/>
        </w:rPr>
        <w:t>Work towards presentation of research work at relevant national and international forum</w:t>
      </w:r>
      <w:r>
        <w:rPr>
          <w:rFonts w:cstheme="minorHAnsi"/>
        </w:rPr>
        <w:t>s.</w:t>
      </w:r>
    </w:p>
    <w:p w:rsidRPr="00BE7262" w:rsidR="00C004DB" w:rsidP="00C004DB" w:rsidRDefault="00C004DB" w14:paraId="44154CCD" w14:textId="77777777">
      <w:pPr>
        <w:pStyle w:val="ListParagraph"/>
        <w:numPr>
          <w:ilvl w:val="0"/>
          <w:numId w:val="32"/>
        </w:numPr>
        <w:pBdr>
          <w:top w:val="nil"/>
          <w:left w:val="nil"/>
          <w:bottom w:val="nil"/>
          <w:right w:val="nil"/>
          <w:between w:val="nil"/>
          <w:bar w:val="nil"/>
        </w:pBdr>
        <w:spacing w:after="0" w:line="240" w:lineRule="auto"/>
        <w:ind w:left="1402" w:hanging="325"/>
        <w:contextualSpacing w:val="0"/>
        <w:rPr>
          <w:rFonts w:eastAsia="Arial" w:cstheme="minorHAnsi"/>
        </w:rPr>
      </w:pPr>
      <w:r w:rsidRPr="00BE7262">
        <w:rPr>
          <w:rFonts w:cstheme="minorHAnsi"/>
        </w:rPr>
        <w:t>Liaise with colleagues and students.</w:t>
      </w:r>
    </w:p>
    <w:p w:rsidRPr="00BE7262" w:rsidR="00C004DB" w:rsidP="00C004DB" w:rsidRDefault="00C004DB" w14:paraId="003039C8" w14:textId="77777777">
      <w:pPr>
        <w:pStyle w:val="ListParagraph"/>
        <w:numPr>
          <w:ilvl w:val="0"/>
          <w:numId w:val="32"/>
        </w:numPr>
        <w:pBdr>
          <w:top w:val="nil"/>
          <w:left w:val="nil"/>
          <w:bottom w:val="nil"/>
          <w:right w:val="nil"/>
          <w:between w:val="nil"/>
          <w:bar w:val="nil"/>
        </w:pBdr>
        <w:spacing w:after="0" w:line="240" w:lineRule="auto"/>
        <w:ind w:left="1402" w:hanging="325"/>
        <w:contextualSpacing w:val="0"/>
        <w:rPr>
          <w:rFonts w:eastAsia="Arial" w:cstheme="minorHAnsi"/>
        </w:rPr>
      </w:pPr>
      <w:r w:rsidRPr="00BE7262">
        <w:rPr>
          <w:rFonts w:cstheme="minorHAnsi"/>
        </w:rPr>
        <w:t>Join appropriate internal networks, including subject-specific research groups and contribute to the University’s research community.</w:t>
      </w:r>
    </w:p>
    <w:p w:rsidRPr="00B614DA" w:rsidR="00C004DB" w:rsidP="00C004DB" w:rsidRDefault="00C004DB" w14:paraId="552550F2" w14:textId="77777777">
      <w:pPr>
        <w:pStyle w:val="ListParagraph"/>
        <w:widowControl w:val="0"/>
        <w:numPr>
          <w:ilvl w:val="0"/>
          <w:numId w:val="33"/>
        </w:numPr>
        <w:pBdr>
          <w:top w:val="nil"/>
          <w:left w:val="nil"/>
          <w:bottom w:val="nil"/>
          <w:right w:val="nil"/>
          <w:between w:val="nil"/>
          <w:bar w:val="nil"/>
        </w:pBdr>
        <w:spacing w:after="0" w:line="240" w:lineRule="auto"/>
        <w:ind w:left="1402" w:hanging="325"/>
        <w:contextualSpacing w:val="0"/>
        <w:rPr>
          <w:rFonts w:eastAsia="Arial" w:cstheme="minorHAnsi"/>
        </w:rPr>
      </w:pPr>
      <w:r w:rsidRPr="00CC1E1D">
        <w:rPr>
          <w:rFonts w:cstheme="minorHAnsi"/>
        </w:rPr>
        <w:t>Plan own day-to-day work within the framework of the agreed programme.</w:t>
      </w:r>
    </w:p>
    <w:p w:rsidR="00C004DB" w:rsidP="00C004DB" w:rsidRDefault="00C004DB" w14:paraId="139F42F6" w14:textId="77777777">
      <w:pPr>
        <w:pStyle w:val="ListParagraph"/>
        <w:widowControl w:val="0"/>
        <w:numPr>
          <w:ilvl w:val="0"/>
          <w:numId w:val="33"/>
        </w:numPr>
        <w:pBdr>
          <w:top w:val="nil"/>
          <w:left w:val="nil"/>
          <w:bottom w:val="nil"/>
          <w:right w:val="nil"/>
          <w:between w:val="nil"/>
          <w:bar w:val="nil"/>
        </w:pBdr>
        <w:spacing w:after="0" w:line="240" w:lineRule="auto"/>
        <w:ind w:left="1402" w:hanging="325"/>
        <w:contextualSpacing w:val="0"/>
        <w:rPr>
          <w:rFonts w:eastAsia="Arial" w:cstheme="minorHAnsi"/>
        </w:rPr>
      </w:pPr>
      <w:r w:rsidRPr="00A727BE">
        <w:rPr>
          <w:rFonts w:eastAsia="Arial" w:cstheme="minorHAnsi"/>
        </w:rPr>
        <w:t>Marking and assessment (referred to below)</w:t>
      </w:r>
      <w:r>
        <w:rPr>
          <w:rFonts w:eastAsia="Arial" w:cstheme="minorHAnsi"/>
        </w:rPr>
        <w:t>.</w:t>
      </w:r>
    </w:p>
    <w:p w:rsidR="00C004DB" w:rsidP="00C004DB" w:rsidRDefault="00C004DB" w14:paraId="5FD8A092" w14:textId="77777777">
      <w:pPr>
        <w:widowControl w:val="0"/>
        <w:pBdr>
          <w:top w:val="nil"/>
          <w:left w:val="nil"/>
          <w:bottom w:val="nil"/>
          <w:right w:val="nil"/>
          <w:between w:val="nil"/>
          <w:bar w:val="nil"/>
        </w:pBdr>
        <w:spacing w:after="0" w:line="240" w:lineRule="auto"/>
        <w:rPr>
          <w:color w:val="FF0000"/>
        </w:rPr>
      </w:pPr>
    </w:p>
    <w:p w:rsidRPr="00DB5B95" w:rsidR="00C004DB" w:rsidP="005F5BDD" w:rsidRDefault="00C004DB" w14:paraId="1494ECA4" w14:textId="77777777">
      <w:pPr>
        <w:pStyle w:val="ListParagraph"/>
        <w:widowControl w:val="0"/>
        <w:numPr>
          <w:ilvl w:val="1"/>
          <w:numId w:val="28"/>
        </w:numPr>
        <w:pBdr>
          <w:top w:val="nil"/>
          <w:left w:val="nil"/>
          <w:bottom w:val="nil"/>
          <w:right w:val="nil"/>
          <w:between w:val="nil"/>
          <w:bar w:val="nil"/>
        </w:pBdr>
        <w:spacing w:after="0" w:line="240" w:lineRule="auto"/>
        <w:ind w:left="709" w:hanging="709"/>
        <w:rPr>
          <w:rFonts w:eastAsia="Arial" w:cstheme="minorHAnsi"/>
        </w:rPr>
      </w:pPr>
      <w:r>
        <w:t xml:space="preserve">PGR </w:t>
      </w:r>
      <w:r w:rsidRPr="00A727BE">
        <w:t xml:space="preserve">GTAs should not normally be expected to deliver lectures, or to facilitate large group teaching in place of an academic member of staff. A </w:t>
      </w:r>
      <w:r>
        <w:t xml:space="preserve">PGR </w:t>
      </w:r>
      <w:r w:rsidRPr="00A727BE">
        <w:t xml:space="preserve">GTA with specialist knowledge of particular relevance may, however, be invited to give one or more ‘guest lectures’ within a module. This can add vibrancy to a module and be hugely beneficial to a </w:t>
      </w:r>
      <w:r>
        <w:t xml:space="preserve">PGR </w:t>
      </w:r>
      <w:r w:rsidRPr="00A727BE">
        <w:t xml:space="preserve">GTA’s professional development. A module leader wishing to </w:t>
      </w:r>
      <w:r>
        <w:t>engage</w:t>
      </w:r>
      <w:r w:rsidRPr="00A727BE">
        <w:t xml:space="preserve"> a</w:t>
      </w:r>
      <w:r>
        <w:t xml:space="preserve"> PGR</w:t>
      </w:r>
      <w:r w:rsidRPr="00A727BE">
        <w:t xml:space="preserve"> GTA </w:t>
      </w:r>
      <w:r>
        <w:t xml:space="preserve">in </w:t>
      </w:r>
      <w:r w:rsidRPr="00A727BE">
        <w:t>deliver</w:t>
      </w:r>
      <w:r>
        <w:t>ing</w:t>
      </w:r>
      <w:r w:rsidRPr="00A727BE">
        <w:t xml:space="preserve"> a lecture on this basis should seek approval from the PGR GTA Teaching Lead and ensure that the </w:t>
      </w:r>
      <w:r>
        <w:t xml:space="preserve">PGR </w:t>
      </w:r>
      <w:r w:rsidRPr="00A727BE">
        <w:t>GTA is given the necessary support</w:t>
      </w:r>
      <w:r>
        <w:t xml:space="preserve">. </w:t>
      </w:r>
      <w:r w:rsidRPr="00A727BE">
        <w:t xml:space="preserve"> </w:t>
      </w:r>
    </w:p>
    <w:p w:rsidRPr="00DB5B95" w:rsidR="00C004DB" w:rsidP="00C004DB" w:rsidRDefault="00C004DB" w14:paraId="3046FCC3" w14:textId="77777777">
      <w:pPr>
        <w:pStyle w:val="ListParagraph"/>
        <w:widowControl w:val="0"/>
        <w:pBdr>
          <w:top w:val="nil"/>
          <w:left w:val="nil"/>
          <w:bottom w:val="nil"/>
          <w:right w:val="nil"/>
          <w:between w:val="nil"/>
          <w:bar w:val="nil"/>
        </w:pBdr>
        <w:spacing w:after="0" w:line="240" w:lineRule="auto"/>
        <w:ind w:left="567"/>
        <w:rPr>
          <w:rFonts w:eastAsia="Arial" w:cstheme="minorHAnsi"/>
        </w:rPr>
      </w:pPr>
    </w:p>
    <w:p w:rsidRPr="00DB5B95" w:rsidR="00C004DB" w:rsidP="005F5BDD" w:rsidRDefault="00C004DB" w14:paraId="2E5B8C9F" w14:textId="77777777">
      <w:pPr>
        <w:pStyle w:val="ListParagraph"/>
        <w:widowControl w:val="0"/>
        <w:numPr>
          <w:ilvl w:val="1"/>
          <w:numId w:val="28"/>
        </w:numPr>
        <w:pBdr>
          <w:top w:val="nil"/>
          <w:left w:val="nil"/>
          <w:bottom w:val="nil"/>
          <w:right w:val="nil"/>
          <w:between w:val="nil"/>
          <w:bar w:val="nil"/>
        </w:pBdr>
        <w:spacing w:after="0" w:line="240" w:lineRule="auto"/>
        <w:ind w:left="709" w:hanging="709"/>
        <w:rPr>
          <w:rFonts w:eastAsia="Arial" w:cstheme="minorHAnsi"/>
        </w:rPr>
      </w:pPr>
      <w:r w:rsidRPr="00DB5B95">
        <w:rPr>
          <w:rFonts w:eastAsia="Arial" w:cstheme="minorHAnsi"/>
        </w:rPr>
        <w:t>Additionally, PGR GTAs will be required to:</w:t>
      </w:r>
      <w:r w:rsidRPr="00DB5B95">
        <w:rPr>
          <w:rFonts w:eastAsia="Arial" w:cstheme="minorHAnsi"/>
        </w:rPr>
        <w:br/>
      </w:r>
    </w:p>
    <w:p w:rsidRPr="00913FD9" w:rsidR="00C004DB" w:rsidP="00C004DB" w:rsidRDefault="00C004DB" w14:paraId="092E8A0E" w14:textId="77777777">
      <w:pPr>
        <w:pStyle w:val="ListParagraph"/>
        <w:numPr>
          <w:ilvl w:val="0"/>
          <w:numId w:val="34"/>
        </w:numPr>
        <w:pBdr>
          <w:top w:val="nil"/>
          <w:left w:val="nil"/>
          <w:bottom w:val="nil"/>
          <w:right w:val="nil"/>
          <w:between w:val="nil"/>
          <w:bar w:val="nil"/>
        </w:pBdr>
        <w:tabs>
          <w:tab w:val="num" w:pos="717"/>
        </w:tabs>
        <w:spacing w:after="0" w:line="240" w:lineRule="auto"/>
        <w:ind w:left="1402" w:hanging="357"/>
        <w:contextualSpacing w:val="0"/>
        <w:rPr>
          <w:rFonts w:eastAsia="Arial" w:cstheme="minorHAnsi"/>
        </w:rPr>
      </w:pPr>
      <w:r w:rsidRPr="00913FD9">
        <w:rPr>
          <w:rFonts w:cstheme="minorHAnsi"/>
        </w:rPr>
        <w:t xml:space="preserve">Fulfil the </w:t>
      </w:r>
      <w:r>
        <w:rPr>
          <w:rFonts w:cstheme="minorHAnsi"/>
        </w:rPr>
        <w:t>students’</w:t>
      </w:r>
      <w:r w:rsidRPr="00913FD9">
        <w:rPr>
          <w:rFonts w:cstheme="minorHAnsi"/>
        </w:rPr>
        <w:t xml:space="preserve"> duties described in the University</w:t>
      </w:r>
      <w:r w:rsidRPr="00913FD9">
        <w:rPr>
          <w:rFonts w:eastAsia="Arial Unicode MS" w:cstheme="minorHAnsi"/>
        </w:rPr>
        <w:t>’</w:t>
      </w:r>
      <w:r w:rsidRPr="00913FD9">
        <w:rPr>
          <w:rFonts w:cstheme="minorHAnsi"/>
        </w:rPr>
        <w:t>s health and safety policies and</w:t>
      </w:r>
      <w:r w:rsidRPr="00913FD9">
        <w:rPr>
          <w:rFonts w:eastAsia="Arial Unicode MS" w:cstheme="minorHAnsi"/>
        </w:rPr>
        <w:t> </w:t>
      </w:r>
      <w:r w:rsidRPr="00913FD9">
        <w:rPr>
          <w:rFonts w:cstheme="minorHAnsi"/>
        </w:rPr>
        <w:t xml:space="preserve">co-operate with the health and safety arrangements in place within the department. </w:t>
      </w:r>
    </w:p>
    <w:p w:rsidRPr="00180409" w:rsidR="00C004DB" w:rsidP="00C004DB" w:rsidRDefault="00C004DB" w14:paraId="5972E9D7" w14:textId="77777777">
      <w:pPr>
        <w:pStyle w:val="ListParagraph"/>
        <w:tabs>
          <w:tab w:val="left" w:pos="327"/>
        </w:tabs>
        <w:ind w:left="1405"/>
        <w:rPr>
          <w:rFonts w:eastAsia="Arial" w:cstheme="minorHAnsi"/>
        </w:rPr>
      </w:pPr>
      <w:r>
        <w:rPr>
          <w:rFonts w:eastAsia="Arial" w:cstheme="minorHAnsi"/>
        </w:rPr>
        <w:t>U</w:t>
      </w:r>
      <w:r w:rsidRPr="00913FD9">
        <w:rPr>
          <w:rFonts w:eastAsia="Arial" w:cstheme="minorHAnsi"/>
        </w:rPr>
        <w:t>ndertake specific health and safety roles on request</w:t>
      </w:r>
      <w:r>
        <w:rPr>
          <w:rFonts w:eastAsia="Arial" w:cstheme="minorHAnsi"/>
        </w:rPr>
        <w:t xml:space="preserve"> (where relevant)</w:t>
      </w:r>
      <w:r w:rsidRPr="00913FD9">
        <w:rPr>
          <w:rFonts w:eastAsia="Arial" w:cstheme="minorHAnsi"/>
        </w:rPr>
        <w:t xml:space="preserve"> e.g. </w:t>
      </w:r>
      <w:r>
        <w:rPr>
          <w:rFonts w:eastAsia="Arial" w:cstheme="minorHAnsi"/>
        </w:rPr>
        <w:t>d</w:t>
      </w:r>
      <w:r w:rsidRPr="00913FD9">
        <w:rPr>
          <w:rFonts w:eastAsia="Arial" w:cstheme="minorHAnsi"/>
        </w:rPr>
        <w:t xml:space="preserve">isplay screen </w:t>
      </w:r>
      <w:r w:rsidRPr="00180409">
        <w:rPr>
          <w:rFonts w:eastAsia="Arial" w:cstheme="minorHAnsi"/>
        </w:rPr>
        <w:t>equipment assessor, departmental safety officer, fire warden.</w:t>
      </w:r>
    </w:p>
    <w:p w:rsidRPr="00180409" w:rsidR="00C004DB" w:rsidP="00C004DB" w:rsidRDefault="00C004DB" w14:paraId="2881C422" w14:textId="77777777">
      <w:pPr>
        <w:pStyle w:val="ListParagraph"/>
        <w:numPr>
          <w:ilvl w:val="0"/>
          <w:numId w:val="34"/>
        </w:numPr>
        <w:pBdr>
          <w:top w:val="nil"/>
          <w:left w:val="nil"/>
          <w:bottom w:val="nil"/>
          <w:right w:val="nil"/>
          <w:between w:val="nil"/>
          <w:bar w:val="nil"/>
        </w:pBdr>
        <w:tabs>
          <w:tab w:val="num" w:pos="717"/>
        </w:tabs>
        <w:spacing w:after="0" w:line="240" w:lineRule="auto"/>
        <w:ind w:left="1418" w:hanging="425"/>
        <w:contextualSpacing w:val="0"/>
        <w:rPr>
          <w:rFonts w:eastAsia="Arial" w:cstheme="minorHAnsi"/>
        </w:rPr>
      </w:pPr>
      <w:r w:rsidRPr="00180409">
        <w:rPr>
          <w:rFonts w:cstheme="minorHAnsi"/>
        </w:rPr>
        <w:t xml:space="preserve">Work to assist with student engagement and research / enterprise activities. </w:t>
      </w:r>
    </w:p>
    <w:p w:rsidRPr="00913FD9" w:rsidR="00C004DB" w:rsidP="00C004DB" w:rsidRDefault="00C004DB" w14:paraId="154E1CD4" w14:textId="77777777">
      <w:pPr>
        <w:pStyle w:val="ListParagraph"/>
        <w:numPr>
          <w:ilvl w:val="0"/>
          <w:numId w:val="34"/>
        </w:numPr>
        <w:pBdr>
          <w:top w:val="nil"/>
          <w:left w:val="nil"/>
          <w:bottom w:val="nil"/>
          <w:right w:val="nil"/>
          <w:between w:val="nil"/>
          <w:bar w:val="nil"/>
        </w:pBdr>
        <w:tabs>
          <w:tab w:val="num" w:pos="717"/>
        </w:tabs>
        <w:spacing w:after="0" w:line="240" w:lineRule="exact"/>
        <w:ind w:left="1418" w:hanging="425"/>
        <w:contextualSpacing w:val="0"/>
        <w:rPr>
          <w:rFonts w:eastAsia="Arial" w:cstheme="minorHAnsi"/>
          <w:b/>
          <w:bCs/>
        </w:rPr>
      </w:pPr>
      <w:r w:rsidRPr="00913FD9">
        <w:rPr>
          <w:rFonts w:cstheme="minorHAnsi"/>
        </w:rPr>
        <w:t>Show a commitment to diversity, equal opportunities and anti-discriminatory practices. This includes undertaking mandatory equality and diversity training.</w:t>
      </w:r>
    </w:p>
    <w:p w:rsidRPr="00BB5990" w:rsidR="00C004DB" w:rsidP="00C004DB" w:rsidRDefault="00C004DB" w14:paraId="70B4A7A3" w14:textId="77777777">
      <w:pPr>
        <w:pStyle w:val="ListParagraph"/>
        <w:numPr>
          <w:ilvl w:val="0"/>
          <w:numId w:val="34"/>
        </w:numPr>
        <w:pBdr>
          <w:top w:val="nil"/>
          <w:left w:val="nil"/>
          <w:bottom w:val="nil"/>
          <w:right w:val="nil"/>
          <w:between w:val="nil"/>
          <w:bar w:val="nil"/>
        </w:pBdr>
        <w:tabs>
          <w:tab w:val="num" w:pos="717"/>
        </w:tabs>
        <w:spacing w:after="0" w:line="240" w:lineRule="exact"/>
        <w:ind w:left="1418" w:hanging="425"/>
        <w:contextualSpacing w:val="0"/>
        <w:rPr>
          <w:rFonts w:eastAsia="Arial" w:cstheme="minorHAnsi"/>
          <w:b/>
          <w:bCs/>
        </w:rPr>
      </w:pPr>
      <w:r w:rsidRPr="00913FD9">
        <w:rPr>
          <w:rFonts w:cstheme="minorHAnsi"/>
        </w:rPr>
        <w:t>Comply with University regulations, policies and procedures.</w:t>
      </w:r>
    </w:p>
    <w:p w:rsidRPr="00BB5990" w:rsidR="00C004DB" w:rsidP="00C004DB" w:rsidRDefault="00C004DB" w14:paraId="5D900203" w14:textId="77777777">
      <w:pPr>
        <w:pStyle w:val="ListParagraph"/>
        <w:numPr>
          <w:ilvl w:val="0"/>
          <w:numId w:val="34"/>
        </w:numPr>
        <w:pBdr>
          <w:top w:val="nil"/>
          <w:left w:val="nil"/>
          <w:bottom w:val="nil"/>
          <w:right w:val="nil"/>
          <w:between w:val="nil"/>
          <w:bar w:val="nil"/>
        </w:pBdr>
        <w:tabs>
          <w:tab w:val="num" w:pos="717"/>
        </w:tabs>
        <w:spacing w:after="0" w:line="240" w:lineRule="exact"/>
        <w:ind w:left="1418" w:hanging="425"/>
        <w:contextualSpacing w:val="0"/>
        <w:rPr>
          <w:rFonts w:eastAsia="Arial" w:cstheme="minorHAnsi"/>
          <w:bCs/>
        </w:rPr>
      </w:pPr>
      <w:r w:rsidRPr="00BB5990">
        <w:rPr>
          <w:rFonts w:eastAsia="Arial" w:cstheme="minorHAnsi"/>
          <w:bCs/>
        </w:rPr>
        <w:t>Adhere to the Student Contract.</w:t>
      </w:r>
    </w:p>
    <w:p w:rsidRPr="009666BD" w:rsidR="00C004DB" w:rsidP="009666BD" w:rsidRDefault="00C004DB" w14:paraId="174286C5" w14:textId="77777777">
      <w:pPr>
        <w:rPr>
          <w:rStyle w:val="SubtleReference"/>
          <w:u w:val="none"/>
        </w:rPr>
      </w:pPr>
    </w:p>
    <w:p w:rsidR="00617924" w:rsidP="009666BD" w:rsidRDefault="00DF38D3" w14:paraId="76B7F908" w14:textId="0D8F0403">
      <w:pPr>
        <w:pStyle w:val="Heading1"/>
      </w:pPr>
      <w:bookmarkStart w:name="_Toc146210432" w:id="9"/>
      <w:r>
        <w:lastRenderedPageBreak/>
        <w:t xml:space="preserve">Marking and </w:t>
      </w:r>
      <w:r w:rsidR="005F5BDD">
        <w:t>a</w:t>
      </w:r>
      <w:r>
        <w:t>ssessment</w:t>
      </w:r>
      <w:bookmarkEnd w:id="9"/>
      <w:r>
        <w:t xml:space="preserve"> </w:t>
      </w:r>
    </w:p>
    <w:p w:rsidR="00DF38D3" w:rsidP="00DF38D3" w:rsidRDefault="00DF38D3" w14:paraId="222DA1E2" w14:textId="77777777">
      <w:pPr>
        <w:pStyle w:val="numberedmainbody"/>
      </w:pPr>
      <w:r w:rsidRPr="00DF38D3">
        <w:t xml:space="preserve">PGR GTAs can be involved in marking and assessment processes in order to provide them with the full range of teaching experience. The involvement of PGR GTAs in marking and assessment is, however, a key issue for quality assurance. </w:t>
      </w:r>
    </w:p>
    <w:p w:rsidRPr="00DF38D3" w:rsidR="00DF38D3" w:rsidP="00DF38D3" w:rsidRDefault="00DF38D3" w14:paraId="6F8AE43B" w14:textId="4C382D46">
      <w:pPr>
        <w:pStyle w:val="numberedmainbody"/>
      </w:pPr>
      <w:r w:rsidRPr="00DF38D3">
        <w:rPr>
          <w:rFonts w:eastAsia="DengXian"/>
        </w:rPr>
        <w:t xml:space="preserve">PGR GTAs can mark summative assessments provided that they have received training and guidance in this area, including clear marking criteria, </w:t>
      </w:r>
      <w:r w:rsidRPr="00DF38D3">
        <w:rPr>
          <w:szCs w:val="20"/>
        </w:rPr>
        <w:t>training in the marking conventions in use within their Academic Unit</w:t>
      </w:r>
      <w:r w:rsidRPr="00DF38D3">
        <w:rPr>
          <w:rFonts w:eastAsia="DengXian"/>
        </w:rPr>
        <w:t xml:space="preserve">, and importantly, that second marking and/or moderation processes are fully in place for all assessments they mark </w:t>
      </w:r>
      <w:r w:rsidRPr="00DF38D3">
        <w:rPr>
          <w:rFonts w:eastAsia="DengXian"/>
          <w:iCs/>
        </w:rPr>
        <w:t xml:space="preserve">(see: </w:t>
      </w:r>
      <w:r w:rsidRPr="00DF38D3">
        <w:rPr>
          <w:rFonts w:eastAsia="DengXian"/>
          <w:i/>
          <w:iCs/>
        </w:rPr>
        <w:t>Code of Practice on Assessment Procedures</w:t>
      </w:r>
      <w:r w:rsidRPr="00DF38D3">
        <w:rPr>
          <w:rFonts w:eastAsia="DengXian"/>
          <w:iCs/>
        </w:rPr>
        <w:t xml:space="preserve">). </w:t>
      </w:r>
    </w:p>
    <w:p w:rsidRPr="00DB5B95" w:rsidR="00DF38D3" w:rsidP="00DF38D3" w:rsidRDefault="00DF38D3" w14:paraId="68965273" w14:textId="77777777">
      <w:pPr>
        <w:pStyle w:val="numberedmainbody"/>
        <w:rPr>
          <w:rFonts w:asciiTheme="minorHAnsi" w:hAnsiTheme="minorHAnsi" w:cstheme="minorHAnsi"/>
        </w:rPr>
      </w:pPr>
      <w:r w:rsidRPr="00DB5B95">
        <w:rPr>
          <w:szCs w:val="20"/>
        </w:rPr>
        <w:t>Module design and assessment design remains the responsibility of the Module Leader at all times.</w:t>
      </w:r>
    </w:p>
    <w:p w:rsidRPr="00A51288" w:rsidR="00DF38D3" w:rsidP="00DF38D3" w:rsidRDefault="00DF38D3" w14:paraId="33251D8C" w14:textId="3C9E29C2">
      <w:pPr>
        <w:pStyle w:val="numberedmainbody"/>
        <w:rPr>
          <w:rFonts w:asciiTheme="minorHAnsi" w:hAnsiTheme="minorHAnsi" w:cstheme="minorHAnsi"/>
        </w:rPr>
      </w:pPr>
      <w:r w:rsidRPr="00A51288">
        <w:t>The Academic Unit will ensure that PGR GTA</w:t>
      </w:r>
      <w:r>
        <w:t>s’</w:t>
      </w:r>
      <w:r w:rsidRPr="00A51288">
        <w:t xml:space="preserve"> access to student information is in line with </w:t>
      </w:r>
      <w:r w:rsidRPr="00A51288" w:rsidR="007F59A1">
        <w:t>university</w:t>
      </w:r>
      <w:r w:rsidRPr="00A51288">
        <w:t xml:space="preserve"> policies on data protection. PGR GTAs should not have access to the University’s student records system</w:t>
      </w:r>
      <w:r>
        <w:t>.</w:t>
      </w:r>
      <w:r w:rsidRPr="00A51288">
        <w:t xml:space="preserve"> </w:t>
      </w:r>
    </w:p>
    <w:p w:rsidR="009666BD" w:rsidP="009666BD" w:rsidRDefault="00DF38D3" w14:paraId="4AB24996" w14:textId="1F15A40C">
      <w:pPr>
        <w:pStyle w:val="Heading1"/>
      </w:pPr>
      <w:bookmarkStart w:name="_Toc146210433" w:id="10"/>
      <w:r>
        <w:t xml:space="preserve">Creating and </w:t>
      </w:r>
      <w:r w:rsidR="005F5BDD">
        <w:t>i</w:t>
      </w:r>
      <w:r>
        <w:t xml:space="preserve">dentifying </w:t>
      </w:r>
      <w:r w:rsidR="005F5BDD">
        <w:t>o</w:t>
      </w:r>
      <w:r>
        <w:t>pportunities for PGR GTAs</w:t>
      </w:r>
      <w:bookmarkEnd w:id="10"/>
      <w:r>
        <w:t xml:space="preserve"> </w:t>
      </w:r>
    </w:p>
    <w:p w:rsidRPr="00DF38D3" w:rsidR="00DF38D3" w:rsidP="00DF38D3" w:rsidRDefault="00DF38D3" w14:paraId="6268636A" w14:textId="1BDBC42A">
      <w:pPr>
        <w:pStyle w:val="numberedmainbody"/>
        <w:rPr>
          <w:rFonts w:cs="Calibri"/>
        </w:rPr>
      </w:pPr>
      <w:r>
        <w:t>A</w:t>
      </w:r>
      <w:r w:rsidRPr="00822C66">
        <w:t>ssociate Deans for Research, PGR Teaching Leads (Graduate Research Directors/PGR Directors</w:t>
      </w:r>
      <w:r w:rsidRPr="007D00DC">
        <w:t>/PGR Tutors/Graduate Research Officers</w:t>
      </w:r>
      <w:proofErr w:type="gramStart"/>
      <w:r w:rsidRPr="007D00DC">
        <w:t>)</w:t>
      </w:r>
      <w:proofErr w:type="gramEnd"/>
      <w:r w:rsidRPr="007D00DC">
        <w:t xml:space="preserve"> and PGR supervisors will work with Heads of Department, Programme Directors, Module Leaders and other relevant staff in Academic Units to identify the opportunities for</w:t>
      </w:r>
      <w:r>
        <w:t xml:space="preserve"> PGR GTAs</w:t>
      </w:r>
      <w:r w:rsidRPr="00822C66">
        <w:t xml:space="preserve">. It will be the responsibility of the “PGR Teaching Lead” to ensure that this happens. </w:t>
      </w:r>
    </w:p>
    <w:p w:rsidRPr="00C557E3" w:rsidR="000516BC" w:rsidP="00617924" w:rsidRDefault="00DF38D3" w14:paraId="1429B8DE" w14:textId="6CBD31B1">
      <w:pPr>
        <w:pStyle w:val="Heading1"/>
      </w:pPr>
      <w:bookmarkStart w:name="_Toc146210434" w:id="11"/>
      <w:r>
        <w:t xml:space="preserve">Advertising, </w:t>
      </w:r>
      <w:r w:rsidR="005F5BDD">
        <w:t>r</w:t>
      </w:r>
      <w:r>
        <w:t xml:space="preserve">ecruitment and </w:t>
      </w:r>
      <w:r w:rsidR="005F5BDD">
        <w:t>s</w:t>
      </w:r>
      <w:r>
        <w:t>election</w:t>
      </w:r>
      <w:bookmarkEnd w:id="11"/>
      <w:r>
        <w:t xml:space="preserve"> </w:t>
      </w:r>
      <w:r w:rsidR="00BA6B87">
        <w:t xml:space="preserve"> </w:t>
      </w:r>
    </w:p>
    <w:p w:rsidRPr="00DF38D3" w:rsidR="00DF38D3" w:rsidP="00DF38D3" w:rsidRDefault="00DF38D3" w14:paraId="6342302F" w14:textId="43952C10">
      <w:pPr>
        <w:pStyle w:val="numberedmainbody"/>
        <w:rPr>
          <w:rFonts w:cs="Calibri"/>
        </w:rPr>
      </w:pPr>
      <w:r w:rsidRPr="00DF38D3">
        <w:t xml:space="preserve">The advertisement of PGR GTA positions will be undertaken through the Doctoral College to ensure they are advertised in a fair and consistent manner across the University. It is the responsibility of the Academic Units to liaise with the Doctoral College, who will </w:t>
      </w:r>
      <w:proofErr w:type="spellStart"/>
      <w:r w:rsidRPr="00DF38D3">
        <w:t>organise</w:t>
      </w:r>
      <w:proofErr w:type="spellEnd"/>
      <w:r w:rsidRPr="00DF38D3">
        <w:t xml:space="preserve"> the advertisement and arrange for the recruitment process to be set up through the normal scholarship application process, in consultation with other relevant departments within the University.  </w:t>
      </w:r>
    </w:p>
    <w:p w:rsidRPr="00DF38D3" w:rsidR="00DF38D3" w:rsidP="00DF38D3" w:rsidRDefault="00DF38D3" w14:paraId="33FF15D2" w14:textId="362C799C">
      <w:pPr>
        <w:pStyle w:val="numberedmainbody"/>
        <w:rPr>
          <w:rFonts w:cs="Calibri"/>
        </w:rPr>
      </w:pPr>
      <w:r w:rsidRPr="00B60B39">
        <w:t xml:space="preserve">All Academic Units will </w:t>
      </w:r>
      <w:proofErr w:type="gramStart"/>
      <w:r w:rsidRPr="00B60B39">
        <w:t>operate</w:t>
      </w:r>
      <w:proofErr w:type="gramEnd"/>
      <w:r w:rsidRPr="00B60B39">
        <w:t xml:space="preserve"> a fair, transparent and equitable approach to the recruitment and selection of </w:t>
      </w:r>
      <w:r w:rsidRPr="00DF38D3">
        <w:rPr>
          <w:rFonts w:eastAsia="DengXian"/>
        </w:rPr>
        <w:t>PGR GTAs</w:t>
      </w:r>
      <w:r w:rsidRPr="00B60B39">
        <w:t xml:space="preserve">. </w:t>
      </w:r>
    </w:p>
    <w:p w:rsidR="009666BD" w:rsidP="009666BD" w:rsidRDefault="00DF38D3" w14:paraId="3EAE6D44" w14:textId="400B2A7A">
      <w:pPr>
        <w:pStyle w:val="Heading1"/>
      </w:pPr>
      <w:bookmarkStart w:name="_Toc146210435" w:id="12"/>
      <w:r>
        <w:t xml:space="preserve">Equality, </w:t>
      </w:r>
      <w:r w:rsidR="005F5BDD">
        <w:t>d</w:t>
      </w:r>
      <w:r>
        <w:t xml:space="preserve">iversity and </w:t>
      </w:r>
      <w:r w:rsidR="005F5BDD">
        <w:t>i</w:t>
      </w:r>
      <w:r>
        <w:t>nclusion</w:t>
      </w:r>
      <w:bookmarkEnd w:id="12"/>
      <w:r>
        <w:t xml:space="preserve"> </w:t>
      </w:r>
    </w:p>
    <w:p w:rsidR="00DF38D3" w:rsidP="00DF38D3" w:rsidRDefault="00DF38D3" w14:paraId="0925E18B" w14:textId="77777777">
      <w:pPr>
        <w:pStyle w:val="numberedmainbody"/>
      </w:pPr>
      <w:r>
        <w:tab/>
      </w:r>
      <w:r w:rsidRPr="002D4FE4">
        <w:t xml:space="preserve">This Policy fully embraces the University’s commitment to equality, diversity and inclusion as </w:t>
      </w:r>
      <w:r>
        <w:tab/>
      </w:r>
      <w:r w:rsidRPr="002D4FE4">
        <w:t xml:space="preserve">outlined in the Education Strategy 2020-2025, </w:t>
      </w:r>
      <w:r w:rsidRPr="00DF38D3">
        <w:t xml:space="preserve">the University’s Inclusive Education </w:t>
      </w:r>
      <w:r>
        <w:tab/>
      </w:r>
      <w:r w:rsidRPr="00DF38D3">
        <w:t xml:space="preserve">Framework and the range of Equality, Diversity and Inclusion (EDI), and Access and Widening </w:t>
      </w:r>
      <w:r>
        <w:tab/>
      </w:r>
      <w:r w:rsidRPr="00DF38D3">
        <w:t xml:space="preserve">Participation policies currently in force.   </w:t>
      </w:r>
    </w:p>
    <w:p w:rsidR="00DF38D3" w:rsidP="00DF38D3" w:rsidRDefault="00DF38D3" w14:paraId="7D2C2E40" w14:textId="77777777">
      <w:pPr>
        <w:pStyle w:val="numberedmainbody"/>
      </w:pPr>
      <w:r>
        <w:t>All</w:t>
      </w:r>
      <w:r w:rsidRPr="002D4FE4">
        <w:t xml:space="preserve"> </w:t>
      </w:r>
      <w:r w:rsidRPr="00DF38D3">
        <w:rPr>
          <w:rFonts w:eastAsia="DengXian"/>
        </w:rPr>
        <w:t>PGR GTAs</w:t>
      </w:r>
      <w:r>
        <w:t xml:space="preserve"> will be given </w:t>
      </w:r>
      <w:r w:rsidRPr="002D4FE4">
        <w:t xml:space="preserve">an equal opportunity to </w:t>
      </w:r>
      <w:r>
        <w:t xml:space="preserve">participate in all aspects of the scheme, </w:t>
      </w:r>
      <w:r w:rsidRPr="002D4FE4">
        <w:t xml:space="preserve">independent of their background or demographic characteristics. </w:t>
      </w:r>
    </w:p>
    <w:p w:rsidRPr="00BA6B87" w:rsidR="00BA6B87" w:rsidP="00DF38D3" w:rsidRDefault="00DF38D3" w14:paraId="468CA2B1" w14:textId="7BC98625">
      <w:pPr>
        <w:pStyle w:val="numberedmainbody"/>
      </w:pPr>
      <w:r w:rsidRPr="002D4FE4">
        <w:t>T</w:t>
      </w:r>
      <w:r w:rsidRPr="00DF38D3">
        <w:t>he processes outlined in this Policy will ensure that EDI principles are implicitly embedded across the whole of the scheme, particularly (but not exclusively) in relation to the types of opportunities offered, the advertising of opportunities, the recruitment and selection of PGR GTAs and access to teacher training.</w:t>
      </w:r>
    </w:p>
    <w:p w:rsidR="009666BD" w:rsidP="009666BD" w:rsidRDefault="00DF38D3" w14:paraId="3C74B59E" w14:textId="07844C93">
      <w:pPr>
        <w:pStyle w:val="Heading1"/>
      </w:pPr>
      <w:bookmarkStart w:name="_Toc146210436" w:id="13"/>
      <w:r>
        <w:t xml:space="preserve">Tuition </w:t>
      </w:r>
      <w:r w:rsidR="005F5BDD">
        <w:t>f</w:t>
      </w:r>
      <w:r>
        <w:t xml:space="preserve">ee </w:t>
      </w:r>
      <w:r w:rsidR="005F5BDD">
        <w:t>w</w:t>
      </w:r>
      <w:r>
        <w:t xml:space="preserve">aiver and </w:t>
      </w:r>
      <w:r w:rsidR="005F5BDD">
        <w:t>s</w:t>
      </w:r>
      <w:r>
        <w:t>tipend</w:t>
      </w:r>
      <w:bookmarkEnd w:id="13"/>
      <w:r>
        <w:t xml:space="preserve"> </w:t>
      </w:r>
    </w:p>
    <w:p w:rsidR="00DF38D3" w:rsidP="00DF38D3" w:rsidRDefault="00DF38D3" w14:paraId="260FE239" w14:textId="44F1E90E">
      <w:pPr>
        <w:pStyle w:val="numberedmainbody"/>
      </w:pPr>
      <w:r w:rsidRPr="001A1729">
        <w:t xml:space="preserve">The PGR GTAs will receive a tuition fee waiver to cover the cost of the fees for the research </w:t>
      </w:r>
      <w:r w:rsidRPr="001A1729">
        <w:lastRenderedPageBreak/>
        <w:t>period of the PhD programme, which for full-time, is four years in duration. There is no writing-up period associated with the GTA PhD</w:t>
      </w:r>
      <w:r>
        <w:t xml:space="preserve">. </w:t>
      </w:r>
    </w:p>
    <w:p w:rsidR="00DF38D3" w:rsidP="00DF38D3" w:rsidRDefault="00DF38D3" w14:paraId="3D811F76" w14:textId="27898E2F">
      <w:pPr>
        <w:pStyle w:val="numberedmainbody"/>
      </w:pPr>
      <w:r w:rsidRPr="00DF38D3">
        <w:t xml:space="preserve">The PGR GTAs will also receive a maintenance (stipend) payment for the research period of their PhD, which is four years in duration for full-time candidates. The exact maintenance grant sum will be determined each </w:t>
      </w:r>
      <w:r w:rsidRPr="00DF38D3" w:rsidR="007F59A1">
        <w:t>year when</w:t>
      </w:r>
      <w:r w:rsidRPr="00DF38D3">
        <w:t xml:space="preserve"> the Research Councils have made their recommendation. The stipends will usually be aligned to the stipend amount recommended by the UKRI. The maintenance (stipend) payment will cover the demonstrating and teaching support element of the role. An additional payment will not be made to reflect the demonstrating and teaching support activity commitment. </w:t>
      </w:r>
    </w:p>
    <w:p w:rsidR="00DF38D3" w:rsidP="00DF38D3" w:rsidRDefault="00DF38D3" w14:paraId="5028B87A" w14:textId="7C755D16">
      <w:pPr>
        <w:pStyle w:val="numberedmainbody"/>
      </w:pPr>
      <w:r>
        <w:t>PGR GTAs</w:t>
      </w:r>
      <w:r w:rsidRPr="00DC4061">
        <w:t xml:space="preserve"> withdrawing prior to the completion of their programme of study will receive only the appropriate portion of the scholarship and will forfeit their right to the remainder. The University reserves the right to recover any overpayments, should they occur, if </w:t>
      </w:r>
      <w:r>
        <w:t>PGR GTAs</w:t>
      </w:r>
      <w:r w:rsidRPr="00DC4061">
        <w:t xml:space="preserve"> withdraw from their programme of study or transfer to another university. </w:t>
      </w:r>
      <w:r>
        <w:t xml:space="preserve">PGR GTAs </w:t>
      </w:r>
      <w:r w:rsidRPr="00DC4061">
        <w:t xml:space="preserve">submitting earlier than three months </w:t>
      </w:r>
      <w:r w:rsidRPr="00E6507B">
        <w:t>from the end of their research period will receive only th</w:t>
      </w:r>
      <w:r>
        <w:t>e</w:t>
      </w:r>
      <w:r w:rsidRPr="00E6507B">
        <w:t xml:space="preserve"> portion of the scholarship</w:t>
      </w:r>
      <w:r>
        <w:t xml:space="preserve"> up to the point of submission</w:t>
      </w:r>
      <w:r w:rsidRPr="00E6507B">
        <w:t xml:space="preserve">. </w:t>
      </w:r>
    </w:p>
    <w:p w:rsidR="00DF38D3" w:rsidP="00DF38D3" w:rsidRDefault="00DF38D3" w14:paraId="5F3E4609" w14:textId="77777777">
      <w:pPr>
        <w:pStyle w:val="numberedmainbody"/>
      </w:pPr>
      <w:r>
        <w:t xml:space="preserve">PGR GTAs transferring to a standard PhD within the </w:t>
      </w:r>
      <w:proofErr w:type="spellStart"/>
      <w:r>
        <w:t>UoH</w:t>
      </w:r>
      <w:proofErr w:type="spellEnd"/>
      <w:r>
        <w:t xml:space="preserve"> during their </w:t>
      </w:r>
      <w:proofErr w:type="spellStart"/>
      <w:r>
        <w:t>programme</w:t>
      </w:r>
      <w:proofErr w:type="spellEnd"/>
      <w:r>
        <w:t xml:space="preserve"> of study will only receive the appropriate portion of the scholarship and tuition fee waiver up to the date of transfer and will forfeit their right to the reminder. </w:t>
      </w:r>
      <w:r w:rsidRPr="00DC4061">
        <w:t>The University reserves the right to recover any overpayments, should they occur</w:t>
      </w:r>
      <w:r>
        <w:t>.</w:t>
      </w:r>
    </w:p>
    <w:p w:rsidR="00DF38D3" w:rsidP="00DF38D3" w:rsidRDefault="00DF38D3" w14:paraId="0821CC8B" w14:textId="3AD0C627">
      <w:pPr>
        <w:pStyle w:val="numberedmainbody"/>
      </w:pPr>
      <w:r w:rsidRPr="00A71F13">
        <w:t xml:space="preserve">Scholarship funding is also subject to the PGR GTA making satisfactory progress throughout their </w:t>
      </w:r>
      <w:r>
        <w:t xml:space="preserve">PhD </w:t>
      </w:r>
      <w:r w:rsidRPr="00A71F13">
        <w:t>research programme and also in respect of the teaching</w:t>
      </w:r>
      <w:r>
        <w:t xml:space="preserve"> support</w:t>
      </w:r>
      <w:r w:rsidRPr="00A71F13">
        <w:t xml:space="preserve"> requirements</w:t>
      </w:r>
      <w:r>
        <w:t>, as this is an integral aspect of the scholarship and degree programme</w:t>
      </w:r>
      <w:r w:rsidRPr="00A71F13">
        <w:t xml:space="preserve">. Failure to demonstrate satisfactory progress </w:t>
      </w:r>
      <w:r>
        <w:t xml:space="preserve">in both or either of these elements </w:t>
      </w:r>
      <w:r w:rsidRPr="00A71F13">
        <w:t>may result in the suspension or termination of their scholarship funding</w:t>
      </w:r>
      <w:r>
        <w:t xml:space="preserve"> and either transfer to a </w:t>
      </w:r>
      <w:proofErr w:type="gramStart"/>
      <w:r>
        <w:t>Master’s</w:t>
      </w:r>
      <w:proofErr w:type="gramEnd"/>
      <w:r>
        <w:t xml:space="preserve"> programme or termination of candidature. The process for the suspension or termination of a scholarship due to unsatisfactory progress is detailed in the Code of Practice for Research Degrees: Termination of Candidature. </w:t>
      </w:r>
    </w:p>
    <w:p w:rsidR="009666BD" w:rsidP="009666BD" w:rsidRDefault="00DF38D3" w14:paraId="1DBD944B" w14:textId="5C609F3A">
      <w:pPr>
        <w:pStyle w:val="Heading1"/>
      </w:pPr>
      <w:bookmarkStart w:name="_Toc146210437" w:id="14"/>
      <w:r>
        <w:t xml:space="preserve">Monitoring of </w:t>
      </w:r>
      <w:r w:rsidR="005F5BDD">
        <w:t>p</w:t>
      </w:r>
      <w:r>
        <w:t xml:space="preserve">erformance and </w:t>
      </w:r>
      <w:r w:rsidR="005F5BDD">
        <w:t>q</w:t>
      </w:r>
      <w:r>
        <w:t xml:space="preserve">uality </w:t>
      </w:r>
      <w:r w:rsidR="005F5BDD">
        <w:t>a</w:t>
      </w:r>
      <w:r>
        <w:t>ssurance</w:t>
      </w:r>
      <w:bookmarkEnd w:id="14"/>
      <w:r>
        <w:t xml:space="preserve"> </w:t>
      </w:r>
    </w:p>
    <w:p w:rsidR="00DF38D3" w:rsidP="00DF38D3" w:rsidRDefault="00DF38D3" w14:paraId="77EAAFF7" w14:textId="77777777">
      <w:pPr>
        <w:pStyle w:val="numberedmainbody"/>
      </w:pPr>
      <w:r>
        <w:t xml:space="preserve">Heads of Academic Units and PGR Teaching Leads (Graduate Research Directors/PGR Directors/PGR Tutors/Graduate Research Officers) will ensure that the performance of PGR GTAs on their </w:t>
      </w:r>
      <w:proofErr w:type="spellStart"/>
      <w:r>
        <w:t>programmes</w:t>
      </w:r>
      <w:proofErr w:type="spellEnd"/>
      <w:r>
        <w:t xml:space="preserve"> is monitored and reviewed on a regular basis. </w:t>
      </w:r>
    </w:p>
    <w:p w:rsidRPr="00E6507B" w:rsidR="00DF38D3" w:rsidP="00DF38D3" w:rsidRDefault="00DF38D3" w14:paraId="45F6261B" w14:textId="455C1050">
      <w:pPr>
        <w:pStyle w:val="numberedmainbody"/>
      </w:pPr>
      <w:r w:rsidRPr="00DF38D3">
        <w:rPr>
          <w:rFonts w:eastAsia="DengXian"/>
        </w:rPr>
        <w:t xml:space="preserve">Module Leaders are responsible for reviewing the quality of teaching by PGR GTAs on their modules and will involve PGR GTAs in the module review process.  Any concerns regarding the quality of teaching support activity should be raised with and addressed by the PGR Teaching Lead. </w:t>
      </w:r>
    </w:p>
    <w:p w:rsidR="00DF38D3" w:rsidP="00DF38D3" w:rsidRDefault="00DF38D3" w14:paraId="5C31B1D2" w14:textId="77777777">
      <w:pPr>
        <w:pStyle w:val="numberedmainbody"/>
      </w:pPr>
      <w:r w:rsidRPr="00D21D6F">
        <w:t xml:space="preserve">Progress is formally monitored twice a year in Mid-Year Monitoring (MYM) and Annual Monitoring and Progress (AMP) meetings in addition to monthly supervisory progress meetings (or equivalent for part-time). </w:t>
      </w:r>
      <w:r>
        <w:t xml:space="preserve">This includes progress of both the research degree and teaching support activity. </w:t>
      </w:r>
      <w:r w:rsidRPr="00D21D6F">
        <w:t xml:space="preserve">It is the responsibility of the PGR GTA to </w:t>
      </w:r>
      <w:proofErr w:type="spellStart"/>
      <w:r w:rsidRPr="00D21D6F">
        <w:t>familiarise</w:t>
      </w:r>
      <w:proofErr w:type="spellEnd"/>
      <w:r w:rsidRPr="00D21D6F">
        <w:t xml:space="preserve"> themselves with and abide by the </w:t>
      </w:r>
      <w:proofErr w:type="spellStart"/>
      <w:r w:rsidRPr="00D21D6F">
        <w:t>U</w:t>
      </w:r>
      <w:r>
        <w:t>oH</w:t>
      </w:r>
      <w:proofErr w:type="spellEnd"/>
      <w:r w:rsidRPr="00D21D6F">
        <w:t xml:space="preserve"> Student Contract, as well as the regulations applicable to their programme of study, and the Code of Practice Postgraduate Research Students. </w:t>
      </w:r>
    </w:p>
    <w:p w:rsidRPr="00D21D6F" w:rsidR="00DF38D3" w:rsidP="00DF38D3" w:rsidRDefault="00DF38D3" w14:paraId="48B24228" w14:textId="7FBEF7B4">
      <w:pPr>
        <w:pStyle w:val="numberedmainbody"/>
      </w:pPr>
      <w:r w:rsidRPr="00D21D6F">
        <w:t xml:space="preserve">In cases where PGR GTAs are making satisfactory progress on their PhD but are not fulfilling teaching </w:t>
      </w:r>
      <w:r>
        <w:t xml:space="preserve">support </w:t>
      </w:r>
      <w:r w:rsidRPr="00D21D6F">
        <w:t xml:space="preserve">commitments to a satisfactory standard, the University reserves the right to transfer the candidate onto the standard PhD, and stipend </w:t>
      </w:r>
      <w:r>
        <w:t xml:space="preserve">and tuition fee waiver </w:t>
      </w:r>
      <w:r w:rsidRPr="00D21D6F">
        <w:t xml:space="preserve">funding amended accordingly. </w:t>
      </w:r>
    </w:p>
    <w:p w:rsidR="00DF38D3" w:rsidP="00DF38D3" w:rsidRDefault="00DF38D3" w14:paraId="3DB6F982" w14:textId="77777777">
      <w:pPr>
        <w:pStyle w:val="numberedmainbody"/>
      </w:pPr>
      <w:r w:rsidRPr="00D21D6F">
        <w:t xml:space="preserve">In cases where PGR GTAs are fulfilling </w:t>
      </w:r>
      <w:r>
        <w:t xml:space="preserve">the </w:t>
      </w:r>
      <w:r w:rsidRPr="00D21D6F">
        <w:t>teaching</w:t>
      </w:r>
      <w:r>
        <w:t xml:space="preserve"> support activity</w:t>
      </w:r>
      <w:r w:rsidRPr="00D21D6F">
        <w:t xml:space="preserve"> commitments to a </w:t>
      </w:r>
      <w:r w:rsidRPr="00D21D6F">
        <w:lastRenderedPageBreak/>
        <w:t xml:space="preserve">satisfactory standard but not making satisfactory progress on their PhD, this needs to be formally recorded and appropriate steps taken by the supervisory team as per the Code of Practice for Research Degrees: Termination of Candidature. </w:t>
      </w:r>
    </w:p>
    <w:p w:rsidRPr="00DF38D3" w:rsidR="00DF38D3" w:rsidP="00DF38D3" w:rsidRDefault="00DF38D3" w14:paraId="743767F8" w14:textId="2C045829">
      <w:pPr>
        <w:pStyle w:val="numberedmainbody"/>
      </w:pPr>
      <w:r w:rsidRPr="00D21D6F">
        <w:t xml:space="preserve">For clarity, candidates who fail to make progress on their PhD and are withdrawn from their programme of study cannot continue with GTA teaching </w:t>
      </w:r>
      <w:r>
        <w:t xml:space="preserve">support activity </w:t>
      </w:r>
      <w:r w:rsidRPr="00D21D6F">
        <w:t>commitments and receive scholarship funding.</w:t>
      </w:r>
    </w:p>
    <w:p w:rsidR="00383903" w:rsidP="00BA6B87" w:rsidRDefault="00DF38D3" w14:paraId="72DEE1BF" w14:textId="25E950D9">
      <w:pPr>
        <w:pStyle w:val="Heading1"/>
      </w:pPr>
      <w:bookmarkStart w:name="_Toc146210438" w:id="15"/>
      <w:r>
        <w:t xml:space="preserve">Regulatory </w:t>
      </w:r>
      <w:r w:rsidR="005F5BDD">
        <w:t>r</w:t>
      </w:r>
      <w:r>
        <w:t>equirements</w:t>
      </w:r>
      <w:bookmarkEnd w:id="15"/>
      <w:r>
        <w:t xml:space="preserve"> </w:t>
      </w:r>
    </w:p>
    <w:p w:rsidRPr="00DF38D3" w:rsidR="00DF38D3" w:rsidP="00DF38D3" w:rsidRDefault="00DF38D3" w14:paraId="275B5DAF" w14:textId="77777777">
      <w:pPr>
        <w:pStyle w:val="numberedmainbody"/>
        <w:rPr>
          <w:rFonts w:asciiTheme="minorHAnsi" w:hAnsiTheme="minorHAnsi" w:cstheme="majorBidi"/>
          <w:b/>
          <w:szCs w:val="26"/>
        </w:rPr>
      </w:pPr>
      <w:r w:rsidRPr="006245E4">
        <w:t>The University requires that the PGR</w:t>
      </w:r>
      <w:r>
        <w:t xml:space="preserve"> GTA</w:t>
      </w:r>
      <w:r w:rsidRPr="006245E4">
        <w:t xml:space="preserve">, their </w:t>
      </w:r>
      <w:r>
        <w:t>s</w:t>
      </w:r>
      <w:r w:rsidRPr="006245E4">
        <w:t xml:space="preserve">upervisor and Academic Unit must ensure that all funding body, legal, statutory limits on teaching/working hours and other regulatory requirements are </w:t>
      </w:r>
      <w:r w:rsidRPr="009659F8">
        <w:t xml:space="preserve">adhered to before teaching commences.  </w:t>
      </w:r>
    </w:p>
    <w:p w:rsidRPr="00DF38D3" w:rsidR="00DF38D3" w:rsidP="00DF38D3" w:rsidRDefault="00DF38D3" w14:paraId="73827DAE" w14:textId="238E5B90">
      <w:pPr>
        <w:pStyle w:val="numberedmainbody"/>
        <w:rPr>
          <w:rFonts w:asciiTheme="minorHAnsi" w:hAnsiTheme="minorHAnsi" w:cstheme="majorBidi"/>
          <w:b/>
          <w:szCs w:val="26"/>
        </w:rPr>
      </w:pPr>
      <w:r w:rsidRPr="009659F8">
        <w:t xml:space="preserve">All </w:t>
      </w:r>
      <w:r>
        <w:t xml:space="preserve">Student Visa (formerly </w:t>
      </w:r>
      <w:r w:rsidRPr="009659F8">
        <w:t>Tier 4</w:t>
      </w:r>
      <w:r>
        <w:t xml:space="preserve">) </w:t>
      </w:r>
      <w:r w:rsidRPr="009659F8">
        <w:t xml:space="preserve">immigration requirements (where they apply) and standard employment checks are met and completed before the commencement of any teaching duties by PGR GTAs.  </w:t>
      </w:r>
    </w:p>
    <w:p w:rsidRPr="00376DB0" w:rsidR="00DF38D3" w:rsidP="00DF38D3" w:rsidRDefault="00DF38D3" w14:paraId="701C5FCA" w14:textId="77777777">
      <w:pPr>
        <w:pStyle w:val="numberedmainbody"/>
        <w:rPr>
          <w:rFonts w:asciiTheme="minorHAnsi" w:hAnsiTheme="minorHAnsi" w:cstheme="minorHAnsi"/>
          <w:b/>
          <w:szCs w:val="22"/>
        </w:rPr>
      </w:pPr>
      <w:r w:rsidRPr="009659F8">
        <w:rPr>
          <w:rFonts w:asciiTheme="minorHAnsi" w:hAnsiTheme="minorHAnsi" w:cstheme="minorHAnsi"/>
          <w:szCs w:val="22"/>
        </w:rPr>
        <w:t xml:space="preserve">International students are eligible to be appointed as PGR GTAs. </w:t>
      </w:r>
      <w:r w:rsidRPr="00376DB0">
        <w:rPr>
          <w:rFonts w:asciiTheme="minorHAnsi" w:hAnsiTheme="minorHAnsi" w:cstheme="minorHAnsi"/>
          <w:szCs w:val="22"/>
        </w:rPr>
        <w:t xml:space="preserve">Although </w:t>
      </w:r>
      <w:r w:rsidRPr="00376DB0">
        <w:rPr>
          <w:rStyle w:val="cf01"/>
          <w:rFonts w:asciiTheme="minorHAnsi" w:hAnsiTheme="minorHAnsi" w:cstheme="minorHAnsi"/>
          <w:i w:val="0"/>
          <w:iCs w:val="0"/>
          <w:sz w:val="22"/>
          <w:szCs w:val="22"/>
        </w:rPr>
        <w:t>PGR GTAs are limited to six hours of demonstrating or teaching support activity per week</w:t>
      </w:r>
      <w:r w:rsidRPr="00376DB0">
        <w:rPr>
          <w:rStyle w:val="cf01"/>
          <w:rFonts w:asciiTheme="minorHAnsi" w:hAnsiTheme="minorHAnsi" w:cstheme="minorHAnsi"/>
          <w:sz w:val="22"/>
          <w:szCs w:val="22"/>
        </w:rPr>
        <w:t xml:space="preserve"> </w:t>
      </w:r>
      <w:r w:rsidRPr="00376DB0">
        <w:rPr>
          <w:rStyle w:val="cf01"/>
          <w:rFonts w:asciiTheme="minorHAnsi" w:hAnsiTheme="minorHAnsi" w:cstheme="minorHAnsi"/>
          <w:i w:val="0"/>
          <w:iCs w:val="0"/>
          <w:sz w:val="22"/>
          <w:szCs w:val="22"/>
        </w:rPr>
        <w:t xml:space="preserve">on average over the academic year, this may rise during periods of peak workload. However, during these peak workload periods, international </w:t>
      </w:r>
      <w:proofErr w:type="gramStart"/>
      <w:r w:rsidRPr="00376DB0">
        <w:rPr>
          <w:rStyle w:val="cf01"/>
          <w:rFonts w:asciiTheme="minorHAnsi" w:hAnsiTheme="minorHAnsi" w:cstheme="minorHAnsi"/>
          <w:i w:val="0"/>
          <w:iCs w:val="0"/>
          <w:sz w:val="22"/>
          <w:szCs w:val="22"/>
        </w:rPr>
        <w:t>student</w:t>
      </w:r>
      <w:proofErr w:type="gramEnd"/>
      <w:r w:rsidRPr="00376DB0">
        <w:rPr>
          <w:rStyle w:val="cf01"/>
          <w:rFonts w:asciiTheme="minorHAnsi" w:hAnsiTheme="minorHAnsi" w:cstheme="minorHAnsi"/>
          <w:i w:val="0"/>
          <w:iCs w:val="0"/>
          <w:sz w:val="22"/>
          <w:szCs w:val="22"/>
        </w:rPr>
        <w:t xml:space="preserve"> on a Student Visa</w:t>
      </w:r>
      <w:r w:rsidRPr="00376DB0">
        <w:rPr>
          <w:rStyle w:val="cf01"/>
          <w:rFonts w:asciiTheme="minorHAnsi" w:hAnsiTheme="minorHAnsi" w:cstheme="minorHAnsi"/>
          <w:sz w:val="22"/>
          <w:szCs w:val="22"/>
        </w:rPr>
        <w:t xml:space="preserve"> </w:t>
      </w:r>
      <w:r w:rsidRPr="00376DB0">
        <w:rPr>
          <w:rFonts w:asciiTheme="minorHAnsi" w:hAnsiTheme="minorHAnsi" w:cstheme="minorHAnsi"/>
          <w:szCs w:val="22"/>
        </w:rPr>
        <w:t xml:space="preserve">(formerly Tier 4) can usually only work for a maximum of 20 hours per week (this includes paid, unpaid and voluntary work). More information regarding this is available on the University’s website (Visa and Immigration section).  </w:t>
      </w:r>
    </w:p>
    <w:p w:rsidR="00DF38D3" w:rsidP="00DF38D3" w:rsidRDefault="00DF38D3" w14:paraId="0B93B1A9" w14:textId="193600F2">
      <w:pPr>
        <w:pStyle w:val="numberedmainbody"/>
        <w:rPr>
          <w:b/>
          <w:szCs w:val="20"/>
        </w:rPr>
      </w:pPr>
      <w:r w:rsidRPr="00DB7030">
        <w:rPr>
          <w:rFonts w:eastAsia="DengXian"/>
        </w:rPr>
        <w:t xml:space="preserve">PGR GTAs </w:t>
      </w:r>
      <w:r w:rsidRPr="00DB7030">
        <w:rPr>
          <w:szCs w:val="20"/>
        </w:rPr>
        <w:t xml:space="preserve">cannot undertake formal teaching </w:t>
      </w:r>
      <w:r>
        <w:rPr>
          <w:szCs w:val="20"/>
        </w:rPr>
        <w:t xml:space="preserve">support </w:t>
      </w:r>
      <w:r w:rsidRPr="00DB7030">
        <w:rPr>
          <w:szCs w:val="20"/>
        </w:rPr>
        <w:t xml:space="preserve">activities on any module that formally </w:t>
      </w:r>
      <w:r>
        <w:rPr>
          <w:szCs w:val="20"/>
        </w:rPr>
        <w:t>c</w:t>
      </w:r>
      <w:r w:rsidRPr="00DB7030">
        <w:rPr>
          <w:szCs w:val="20"/>
        </w:rPr>
        <w:t>ontributes to a programme of study on which they are a registered student.</w:t>
      </w:r>
    </w:p>
    <w:p w:rsidR="009666BD" w:rsidP="009666BD" w:rsidRDefault="006D2013" w14:paraId="095B82AA" w14:textId="7664F8C3">
      <w:pPr>
        <w:pStyle w:val="Heading1"/>
      </w:pPr>
      <w:bookmarkStart w:name="_Toc146210439" w:id="16"/>
      <w:r>
        <w:t xml:space="preserve">Managing the </w:t>
      </w:r>
      <w:r w:rsidR="005F5BDD">
        <w:t>t</w:t>
      </w:r>
      <w:r>
        <w:t xml:space="preserve">eaching </w:t>
      </w:r>
      <w:r w:rsidR="005F5BDD">
        <w:t>w</w:t>
      </w:r>
      <w:r>
        <w:t>orkload</w:t>
      </w:r>
      <w:bookmarkEnd w:id="16"/>
      <w:r>
        <w:t xml:space="preserve"> </w:t>
      </w:r>
    </w:p>
    <w:p w:rsidR="006D2013" w:rsidP="006D2013" w:rsidRDefault="006D2013" w14:paraId="65E16E7E" w14:textId="72B0ABBF">
      <w:pPr>
        <w:pStyle w:val="numberedmainbody"/>
      </w:pPr>
      <w:r>
        <w:t xml:space="preserve">Any teaching undertaken by </w:t>
      </w:r>
      <w:r w:rsidRPr="006D2013">
        <w:rPr>
          <w:rFonts w:eastAsia="DengXian"/>
        </w:rPr>
        <w:t>PGR GTAs</w:t>
      </w:r>
      <w:r>
        <w:t xml:space="preserve"> must not impede the successful completion of their research degree programme.   </w:t>
      </w:r>
      <w:r w:rsidRPr="006D2013">
        <w:rPr>
          <w:rFonts w:eastAsia="DengXian"/>
        </w:rPr>
        <w:t>PGR GTAs</w:t>
      </w:r>
      <w:r>
        <w:t xml:space="preserve"> and their supervisors are jointly responsible for ensuring that progress is not negatively affected by teaching support responsibilities.  </w:t>
      </w:r>
    </w:p>
    <w:p w:rsidRPr="00AE217A" w:rsidR="006D2013" w:rsidP="006D2013" w:rsidRDefault="006D2013" w14:paraId="2DCA35DC" w14:textId="77777777">
      <w:pPr>
        <w:pStyle w:val="numberedmainbody"/>
      </w:pPr>
      <w:r w:rsidRPr="00EA388F">
        <w:t>Involvement in teaching</w:t>
      </w:r>
      <w:r>
        <w:t xml:space="preserve"> support </w:t>
      </w:r>
      <w:r w:rsidRPr="00EA388F">
        <w:t>activit</w:t>
      </w:r>
      <w:r>
        <w:t xml:space="preserve">y </w:t>
      </w:r>
      <w:r w:rsidRPr="00EA388F">
        <w:t xml:space="preserve">is however a compulsory part of </w:t>
      </w:r>
      <w:r>
        <w:t xml:space="preserve">the </w:t>
      </w:r>
      <w:r w:rsidRPr="00EA388F">
        <w:t>PGR GTA role, up to the maximum number of hours per academic year</w:t>
      </w:r>
      <w:r>
        <w:t xml:space="preserve">. </w:t>
      </w:r>
      <w:r w:rsidRPr="00EA388F">
        <w:t xml:space="preserve"> </w:t>
      </w:r>
    </w:p>
    <w:p w:rsidRPr="00C96ED5" w:rsidR="006D2013" w:rsidP="006D2013" w:rsidRDefault="006D2013" w14:paraId="0B5E46B2" w14:textId="03B551B4">
      <w:pPr>
        <w:pStyle w:val="numberedmainbody"/>
      </w:pPr>
      <w:r>
        <w:t>Demonstrating and t</w:t>
      </w:r>
      <w:r w:rsidRPr="00DB5B95">
        <w:t xml:space="preserve">eaching </w:t>
      </w:r>
      <w:r>
        <w:t xml:space="preserve">support </w:t>
      </w:r>
      <w:r w:rsidRPr="00DB5B95">
        <w:t>commitments</w:t>
      </w:r>
      <w:r w:rsidR="0066766A">
        <w:t xml:space="preserve"> </w:t>
      </w:r>
      <w:bookmarkStart w:name="_Hlk147664047" w:id="17"/>
      <w:r w:rsidR="0066766A">
        <w:t xml:space="preserve">(including </w:t>
      </w:r>
      <w:r w:rsidR="000138FA">
        <w:t xml:space="preserve">associated </w:t>
      </w:r>
      <w:r w:rsidR="0066766A">
        <w:t>preparatory work</w:t>
      </w:r>
      <w:r w:rsidR="001832C2">
        <w:t>)</w:t>
      </w:r>
      <w:r w:rsidRPr="00DB5B95">
        <w:t xml:space="preserve"> </w:t>
      </w:r>
      <w:bookmarkEnd w:id="17"/>
      <w:r w:rsidRPr="00DB5B95">
        <w:t xml:space="preserve">would average out as a maximum of six hours per week over 43 weeks, which </w:t>
      </w:r>
      <w:r>
        <w:t xml:space="preserve">is </w:t>
      </w:r>
      <w:r w:rsidRPr="00DB5B95">
        <w:t>within the maximum teaching workload stated in the</w:t>
      </w:r>
      <w:hyperlink w:history="1" r:id="rId17">
        <w:r w:rsidRPr="00DB5B95">
          <w:rPr>
            <w:rStyle w:val="Hyperlink"/>
          </w:rPr>
          <w:t xml:space="preserve"> Code of Practice Postgraduate Research Students</w:t>
        </w:r>
      </w:hyperlink>
      <w:r w:rsidRPr="00DB5B95">
        <w:t xml:space="preserve">: 6.1 d) </w:t>
      </w:r>
      <w:r w:rsidRPr="00DB5B95">
        <w:rPr>
          <w:i/>
        </w:rPr>
        <w:t xml:space="preserve">University PhD Scholarship students are expected to undertake no more than 12 </w:t>
      </w:r>
      <w:proofErr w:type="spellStart"/>
      <w:r w:rsidRPr="00DB5B95">
        <w:rPr>
          <w:i/>
        </w:rPr>
        <w:t>hrs</w:t>
      </w:r>
      <w:proofErr w:type="spellEnd"/>
      <w:r w:rsidRPr="00DB5B95">
        <w:rPr>
          <w:i/>
        </w:rPr>
        <w:t xml:space="preserve"> a week of paid teaching/demonstrating.</w:t>
      </w:r>
      <w:r w:rsidR="00DA5BC8">
        <w:rPr>
          <w:i/>
        </w:rPr>
        <w:t xml:space="preserve"> </w:t>
      </w:r>
      <w:r w:rsidR="00A45CB8">
        <w:rPr>
          <w:i/>
        </w:rPr>
        <w:t xml:space="preserve">The peak workload of waged </w:t>
      </w:r>
      <w:proofErr w:type="spellStart"/>
      <w:r w:rsidR="00A45CB8">
        <w:rPr>
          <w:i/>
        </w:rPr>
        <w:t>labour</w:t>
      </w:r>
      <w:proofErr w:type="spellEnd"/>
      <w:r w:rsidR="00A45CB8">
        <w:rPr>
          <w:i/>
        </w:rPr>
        <w:t xml:space="preserve"> should not exceed 40hrs a week for a maximum of 4 weeks. </w:t>
      </w:r>
    </w:p>
    <w:p w:rsidRPr="008E055D" w:rsidR="006D2013" w:rsidP="006D2013" w:rsidRDefault="006D2013" w14:paraId="614F53EC" w14:textId="77777777">
      <w:pPr>
        <w:pStyle w:val="numberedmainbody"/>
      </w:pPr>
      <w:r>
        <w:t>PGR Teaching Leads (Graduate Research Directors/PGR Directors/PGR Tutors/Graduate Research Officers) will act as a point of contact should any PGR GTAs feel uncomfortable about the responsibilities they are being asked to take on.</w:t>
      </w:r>
    </w:p>
    <w:p w:rsidR="006D2013" w:rsidP="006D2013" w:rsidRDefault="006D2013" w14:paraId="1B0FD482" w14:textId="54484507">
      <w:pPr>
        <w:pStyle w:val="Heading1"/>
      </w:pPr>
      <w:bookmarkStart w:name="_Toc146210440" w:id="18"/>
      <w:r>
        <w:t xml:space="preserve">Training, </w:t>
      </w:r>
      <w:r w:rsidR="005F5BDD">
        <w:t>d</w:t>
      </w:r>
      <w:r>
        <w:t xml:space="preserve">evelopment and </w:t>
      </w:r>
      <w:r w:rsidR="005F5BDD">
        <w:t>q</w:t>
      </w:r>
      <w:r>
        <w:t xml:space="preserve">uality </w:t>
      </w:r>
      <w:r w:rsidR="005F5BDD">
        <w:t>a</w:t>
      </w:r>
      <w:r>
        <w:t>ssurance</w:t>
      </w:r>
      <w:bookmarkEnd w:id="18"/>
      <w:r>
        <w:t xml:space="preserve">  </w:t>
      </w:r>
    </w:p>
    <w:p w:rsidRPr="006D2013" w:rsidR="006D2013" w:rsidP="006D2013" w:rsidRDefault="006D2013" w14:paraId="2AB33EBF" w14:textId="1FA725D5">
      <w:pPr>
        <w:pStyle w:val="numberedmainbody"/>
        <w:rPr>
          <w:rFonts w:cs="Calibri"/>
          <w:u w:val="single"/>
        </w:rPr>
      </w:pPr>
      <w:r w:rsidRPr="006D2013">
        <w:t xml:space="preserve">Training and development opportunities and quality assurance are key in ensuring both the quality of the taught student experience (and in addressing any concerns about value for money amongst an UG population) </w:t>
      </w:r>
      <w:r w:rsidRPr="006D2013">
        <w:rPr>
          <w:u w:val="single"/>
        </w:rPr>
        <w:t>and</w:t>
      </w:r>
      <w:r w:rsidRPr="006D2013">
        <w:t xml:space="preserve"> that of PGR GTAs involved in the scheme. </w:t>
      </w:r>
    </w:p>
    <w:p w:rsidR="006D2013" w:rsidP="006D2013" w:rsidRDefault="006D2013" w14:paraId="12EC7970" w14:textId="5859F818">
      <w:pPr>
        <w:pStyle w:val="numberedmainbody"/>
        <w:rPr>
          <w:rFonts w:cs="Calibri"/>
          <w:u w:val="single"/>
        </w:rPr>
      </w:pPr>
      <w:r w:rsidRPr="00293768">
        <w:rPr>
          <w:rFonts w:cs="Calibri"/>
        </w:rPr>
        <w:t xml:space="preserve">Before commencing teaching, all </w:t>
      </w:r>
      <w:r w:rsidRPr="00293768">
        <w:rPr>
          <w:rFonts w:eastAsia="DengXian"/>
        </w:rPr>
        <w:t>PGR GTAs</w:t>
      </w:r>
      <w:r w:rsidRPr="00293768">
        <w:rPr>
          <w:rFonts w:cs="Calibri"/>
        </w:rPr>
        <w:t xml:space="preserve"> must undertake the Passport to University Teaching (PUT) run by the Teaching Excellence Academy (TEA). Depending on their previous teaching qualifications and experience, PGR GTAs may need to undertake the </w:t>
      </w:r>
      <w:r w:rsidR="0023213F">
        <w:rPr>
          <w:rFonts w:cs="Calibri"/>
        </w:rPr>
        <w:t xml:space="preserve">PG Certificate </w:t>
      </w:r>
      <w:r w:rsidR="0023213F">
        <w:rPr>
          <w:rFonts w:cs="Calibri"/>
        </w:rPr>
        <w:lastRenderedPageBreak/>
        <w:t>in Research Training</w:t>
      </w:r>
      <w:r w:rsidRPr="00293768" w:rsidR="0023213F">
        <w:rPr>
          <w:rFonts w:cs="Calibri"/>
        </w:rPr>
        <w:t xml:space="preserve"> </w:t>
      </w:r>
      <w:r w:rsidRPr="00293768">
        <w:rPr>
          <w:rFonts w:cs="Calibri"/>
        </w:rPr>
        <w:t xml:space="preserve">Teaching Module.  </w:t>
      </w:r>
    </w:p>
    <w:p w:rsidRPr="006D2013" w:rsidR="006D2013" w:rsidP="006D2013" w:rsidRDefault="006D2013" w14:paraId="12B59F34" w14:textId="49B3D483">
      <w:pPr>
        <w:pStyle w:val="numberedmainbody"/>
        <w:rPr>
          <w:rFonts w:cs="Calibri"/>
          <w:u w:val="single"/>
        </w:rPr>
      </w:pPr>
      <w:r w:rsidRPr="006D2013">
        <w:rPr>
          <w:rFonts w:cs="Calibri"/>
        </w:rPr>
        <w:t xml:space="preserve">All PGR GTAs will be given an </w:t>
      </w:r>
      <w:r w:rsidRPr="00293768">
        <w:t xml:space="preserve">Academic Unit </w:t>
      </w:r>
      <w:r w:rsidRPr="006D2013">
        <w:rPr>
          <w:rFonts w:cs="Calibri"/>
        </w:rPr>
        <w:t xml:space="preserve">induction into teaching which includes appropriate teaching, assessment/feedback techniques, specialist equipment and software </w:t>
      </w:r>
      <w:r w:rsidRPr="006D2013">
        <w:rPr>
          <w:rFonts w:eastAsia="DengXian"/>
        </w:rPr>
        <w:t xml:space="preserve">specific to the disciplinary area in which they will be providing teaching support. The ADE will ensure that this happens. </w:t>
      </w:r>
      <w:r w:rsidRPr="006D2013">
        <w:rPr>
          <w:rFonts w:cs="Calibri"/>
        </w:rPr>
        <w:t>Completion of the Academic induction training will form part of the GTA role and will be included as part of the demonstrating and teaching support activity hours.</w:t>
      </w:r>
    </w:p>
    <w:p w:rsidR="006D2013" w:rsidP="006D2013" w:rsidRDefault="006D2013" w14:paraId="6284C8A6" w14:textId="77777777">
      <w:pPr>
        <w:pStyle w:val="numberedmainbody"/>
        <w:rPr>
          <w:rFonts w:cs="Calibri"/>
          <w:u w:val="single"/>
        </w:rPr>
      </w:pPr>
      <w:r w:rsidRPr="00293768">
        <w:rPr>
          <w:rFonts w:cs="Calibri"/>
        </w:rPr>
        <w:t>All PGR GTAs involved will be given access to a peer observation scheme</w:t>
      </w:r>
      <w:r>
        <w:rPr>
          <w:rFonts w:cs="Calibri"/>
        </w:rPr>
        <w:t>. They will also be supported to gain Higher Education Academy (</w:t>
      </w:r>
      <w:r w:rsidRPr="00293768">
        <w:rPr>
          <w:rFonts w:cs="Calibri"/>
        </w:rPr>
        <w:t>HEA</w:t>
      </w:r>
      <w:r>
        <w:rPr>
          <w:rFonts w:cs="Calibri"/>
        </w:rPr>
        <w:t>)</w:t>
      </w:r>
      <w:r w:rsidRPr="00293768">
        <w:rPr>
          <w:rFonts w:cs="Calibri"/>
        </w:rPr>
        <w:t xml:space="preserve"> associate fellowship/fellowship </w:t>
      </w:r>
      <w:r>
        <w:rPr>
          <w:rFonts w:cs="Calibri"/>
        </w:rPr>
        <w:t xml:space="preserve">during their programme of study (usually submitted during the third/fourth year of study), </w:t>
      </w:r>
      <w:r w:rsidRPr="00293768">
        <w:rPr>
          <w:rFonts w:cs="Calibri"/>
        </w:rPr>
        <w:t xml:space="preserve">using their </w:t>
      </w:r>
      <w:r>
        <w:rPr>
          <w:rFonts w:cs="Calibri"/>
        </w:rPr>
        <w:t xml:space="preserve">demonstrating and </w:t>
      </w:r>
      <w:r w:rsidRPr="00293768">
        <w:rPr>
          <w:rFonts w:cs="Calibri"/>
        </w:rPr>
        <w:t>teaching</w:t>
      </w:r>
      <w:r>
        <w:rPr>
          <w:rFonts w:cs="Calibri"/>
        </w:rPr>
        <w:t xml:space="preserve"> support related </w:t>
      </w:r>
      <w:r w:rsidRPr="00293768">
        <w:rPr>
          <w:rFonts w:cs="Calibri"/>
        </w:rPr>
        <w:t xml:space="preserve">experiences. </w:t>
      </w:r>
    </w:p>
    <w:p w:rsidRPr="006D2013" w:rsidR="006D2013" w:rsidP="006D2013" w:rsidRDefault="006D2013" w14:paraId="72614777" w14:textId="42C389A8">
      <w:pPr>
        <w:pStyle w:val="numberedmainbody"/>
        <w:rPr>
          <w:rFonts w:cs="Calibri"/>
          <w:u w:val="single"/>
        </w:rPr>
      </w:pPr>
      <w:r w:rsidRPr="00293768">
        <w:t>An individual teaching mentor will be assigned to each PGR GTA in order ensure they can carry out</w:t>
      </w:r>
      <w:r w:rsidRPr="006D2013">
        <w:rPr>
          <w:rFonts w:cs="Calibri"/>
        </w:rPr>
        <w:t xml:space="preserve"> their teaching duties effectively to ensure excellent teaching quality across the University. This will also support the PGR GTA to gain </w:t>
      </w:r>
      <w:proofErr w:type="spellStart"/>
      <w:r w:rsidRPr="006D2013">
        <w:rPr>
          <w:rFonts w:cs="Calibri"/>
        </w:rPr>
        <w:t>recognised</w:t>
      </w:r>
      <w:proofErr w:type="spellEnd"/>
      <w:r w:rsidRPr="006D2013">
        <w:rPr>
          <w:rFonts w:cs="Calibri"/>
        </w:rPr>
        <w:t xml:space="preserve"> academic teaching skills and accreditation. This will normally be the Module </w:t>
      </w:r>
      <w:proofErr w:type="gramStart"/>
      <w:r w:rsidRPr="006D2013">
        <w:rPr>
          <w:rFonts w:cs="Calibri"/>
        </w:rPr>
        <w:t>Leader</w:t>
      </w:r>
      <w:proofErr w:type="gramEnd"/>
      <w:r w:rsidRPr="006D2013">
        <w:rPr>
          <w:rFonts w:cs="Calibri"/>
        </w:rPr>
        <w:t xml:space="preserve"> but academic units may wish to assign the activity to another role within the unit. </w:t>
      </w:r>
    </w:p>
    <w:p w:rsidRPr="00293768" w:rsidR="006D2013" w:rsidP="006D2013" w:rsidRDefault="006D2013" w14:paraId="20D1BEA0" w14:textId="77777777">
      <w:pPr>
        <w:pStyle w:val="numberedmainbody"/>
        <w:rPr>
          <w:rFonts w:cs="Calibri"/>
          <w:u w:val="single"/>
        </w:rPr>
      </w:pPr>
      <w:r w:rsidRPr="00293768">
        <w:rPr>
          <w:rFonts w:cs="Calibri"/>
        </w:rPr>
        <w:t>It is anticipated that PGR GTAs work alongside academic staff to deliver modules by demonstrating or undertaking teaching support activities. It would not be considered appropriate for the teaching on any modules or programme to be delivered independently by PGR GTAs.</w:t>
      </w:r>
    </w:p>
    <w:p w:rsidR="006D2013" w:rsidP="006D2013" w:rsidRDefault="006D2013" w14:paraId="2B2978AB" w14:textId="7C459676">
      <w:pPr>
        <w:pStyle w:val="Heading1"/>
      </w:pPr>
      <w:bookmarkStart w:name="_Toc146210441" w:id="19"/>
      <w:r>
        <w:t xml:space="preserve">English </w:t>
      </w:r>
      <w:r w:rsidR="005F5BDD">
        <w:t>l</w:t>
      </w:r>
      <w:r>
        <w:t xml:space="preserve">anguage </w:t>
      </w:r>
      <w:r w:rsidR="005F5BDD">
        <w:t>r</w:t>
      </w:r>
      <w:r>
        <w:t>equirements</w:t>
      </w:r>
      <w:bookmarkEnd w:id="19"/>
      <w:r>
        <w:t xml:space="preserve">   </w:t>
      </w:r>
    </w:p>
    <w:p w:rsidR="006D2013" w:rsidP="006D2013" w:rsidRDefault="006D2013" w14:paraId="38CF6CB1" w14:textId="088990E7">
      <w:pPr>
        <w:pStyle w:val="numberedmainbody"/>
      </w:pPr>
      <w:r w:rsidRPr="00A97882">
        <w:t>All PGR GTAs involved in delivering teaching must demonstrate a good standard of written and spoken English language, so as to demonstrate the ability to be able to communicate clearly in an academic</w:t>
      </w:r>
      <w:r>
        <w:t xml:space="preserve"> </w:t>
      </w:r>
      <w:r w:rsidRPr="00A97882">
        <w:t xml:space="preserve">class setting. This is </w:t>
      </w:r>
      <w:r>
        <w:t xml:space="preserve">assessed as part of the University entry requirements. </w:t>
      </w:r>
    </w:p>
    <w:p w:rsidRPr="006D2013" w:rsidR="006D2013" w:rsidP="006D2013" w:rsidRDefault="006D2013" w14:paraId="7ED78F9F" w14:textId="3C11B931">
      <w:pPr>
        <w:pStyle w:val="numberedmainbody"/>
      </w:pPr>
      <w:r w:rsidRPr="00D476AB">
        <w:t>Further skills development may be necessary in some cases to reach a satisfactory level and PGR GTAs</w:t>
      </w:r>
      <w:r>
        <w:t>,</w:t>
      </w:r>
      <w:r w:rsidRPr="00D476AB">
        <w:t xml:space="preserve"> whose native language is not English, are encouraged to access support and courses available through the University’s Global Engagement Team. </w:t>
      </w:r>
    </w:p>
    <w:p w:rsidR="00E10B7F" w:rsidP="00E10B7F" w:rsidRDefault="00E10B7F" w14:paraId="1F3B74BD" w14:textId="57032D4C">
      <w:pPr>
        <w:pStyle w:val="Heading1"/>
      </w:pPr>
      <w:bookmarkStart w:name="_Toc146210442" w:id="20"/>
      <w:r>
        <w:t xml:space="preserve">Roles and </w:t>
      </w:r>
      <w:r w:rsidR="005F5BDD">
        <w:t>r</w:t>
      </w:r>
      <w:r>
        <w:t xml:space="preserve">esponsibilities of the </w:t>
      </w:r>
      <w:r w:rsidR="005F5BDD">
        <w:t>a</w:t>
      </w:r>
      <w:r>
        <w:t xml:space="preserve">cademic </w:t>
      </w:r>
      <w:r w:rsidR="005F5BDD">
        <w:t>u</w:t>
      </w:r>
      <w:r>
        <w:t>nit</w:t>
      </w:r>
      <w:bookmarkEnd w:id="20"/>
      <w:r>
        <w:t xml:space="preserve">    </w:t>
      </w:r>
    </w:p>
    <w:p w:rsidR="00E10B7F" w:rsidP="00E10B7F" w:rsidRDefault="00E10B7F" w14:paraId="2014F86B" w14:textId="5F8AEA73">
      <w:pPr>
        <w:pStyle w:val="numberedmainbody"/>
      </w:pPr>
      <w:r w:rsidRPr="00E10B7F">
        <w:t>All Academic Units must ensure that PGR GTAs have access to the relevant training including local</w:t>
      </w:r>
      <w:r>
        <w:t xml:space="preserve"> </w:t>
      </w:r>
      <w:r w:rsidRPr="00E10B7F">
        <w:t>inductions.  The ADE will ensure that this happens. PGR GTAs will also be required to attend an induction from the Doctoral College and relevant Faculty as required.</w:t>
      </w:r>
    </w:p>
    <w:p w:rsidRPr="00E10B7F" w:rsidR="00E10B7F" w:rsidP="00E10B7F" w:rsidRDefault="00E10B7F" w14:paraId="7FC905EE" w14:textId="0EFA6478">
      <w:pPr>
        <w:pStyle w:val="numberedmainbody"/>
      </w:pPr>
      <w:r w:rsidRPr="00E10B7F">
        <w:rPr>
          <w:rFonts w:eastAsia="DengXian"/>
        </w:rPr>
        <w:t xml:space="preserve">All Academic Units must ensure that PGR GTAs are provided with information on and access to the centrally offered staff training opportunities to enable them to carry out their teaching support activity in line with best practice and without risk to themselves and the students (e.g. Health and Safety, Equality, Diversity and Inclusion). </w:t>
      </w:r>
    </w:p>
    <w:p w:rsidRPr="00E10B7F" w:rsidR="00E10B7F" w:rsidP="00E10B7F" w:rsidRDefault="00E10B7F" w14:paraId="1B10F5D1" w14:textId="77777777">
      <w:pPr>
        <w:pStyle w:val="numberedmainbody"/>
      </w:pPr>
      <w:r w:rsidRPr="00E10B7F">
        <w:rPr>
          <w:rFonts w:eastAsia="DengXian"/>
        </w:rPr>
        <w:t>PGR GTAs will be provided with access to the essential course information including on the University’s Virtual Learning Platform and all the relevant teaching materials relating to the aspect of the module they will be demonstrating and undertaking teaching support activity on.</w:t>
      </w:r>
    </w:p>
    <w:p w:rsidR="00E10B7F" w:rsidP="00E10B7F" w:rsidRDefault="00E10B7F" w14:paraId="1BF13AB9" w14:textId="77777777">
      <w:pPr>
        <w:pStyle w:val="numberedmainbody"/>
      </w:pPr>
      <w:r w:rsidRPr="00E10B7F">
        <w:rPr>
          <w:rFonts w:eastAsia="DengXian"/>
        </w:rPr>
        <w:t xml:space="preserve">PGR GTAs </w:t>
      </w:r>
      <w:r w:rsidRPr="00DB5EE8">
        <w:t xml:space="preserve">will receive constructive feedback (through the use of the University’s Peer Support for the Enhancement of Learning and Teaching Scheme) on their performance from the Module Leader. </w:t>
      </w:r>
    </w:p>
    <w:p w:rsidRPr="00E10B7F" w:rsidR="00E10B7F" w:rsidP="00E10B7F" w:rsidRDefault="00E10B7F" w14:paraId="56C9E25D" w14:textId="77777777">
      <w:pPr>
        <w:pStyle w:val="numberedmainbody"/>
      </w:pPr>
      <w:r w:rsidRPr="00DB5EE8">
        <w:t>An individual teaching mentor will be assigned to each PGR GTA to</w:t>
      </w:r>
      <w:r>
        <w:t xml:space="preserve"> </w:t>
      </w:r>
      <w:r w:rsidRPr="00DB5EE8">
        <w:t>ensure they can carry out their teaching duties effectively to</w:t>
      </w:r>
      <w:r>
        <w:t xml:space="preserve"> maintain </w:t>
      </w:r>
      <w:r w:rsidRPr="00DB5EE8">
        <w:t xml:space="preserve">excellent teaching quality across the University. </w:t>
      </w:r>
      <w:r w:rsidRPr="00DB5EE8">
        <w:lastRenderedPageBreak/>
        <w:t>This will normally be the Module</w:t>
      </w:r>
      <w:r w:rsidRPr="00E10B7F">
        <w:rPr>
          <w:rFonts w:cs="Calibri"/>
        </w:rPr>
        <w:t xml:space="preserve"> </w:t>
      </w:r>
      <w:proofErr w:type="gramStart"/>
      <w:r w:rsidRPr="00E10B7F">
        <w:rPr>
          <w:rFonts w:cs="Calibri"/>
        </w:rPr>
        <w:t>Leader</w:t>
      </w:r>
      <w:proofErr w:type="gramEnd"/>
      <w:r w:rsidRPr="00E10B7F">
        <w:rPr>
          <w:rFonts w:cs="Calibri"/>
        </w:rPr>
        <w:t xml:space="preserve"> but Academic Units may wish to assign the activity to another role within the unit. </w:t>
      </w:r>
    </w:p>
    <w:p w:rsidRPr="00E10B7F" w:rsidR="00E10B7F" w:rsidP="00E10B7F" w:rsidRDefault="00E10B7F" w14:paraId="32B37E44" w14:textId="77777777">
      <w:pPr>
        <w:pStyle w:val="numberedmainbody"/>
      </w:pPr>
      <w:r w:rsidRPr="009666C0">
        <w:t xml:space="preserve">Module </w:t>
      </w:r>
      <w:r>
        <w:t>L</w:t>
      </w:r>
      <w:r w:rsidRPr="009666C0">
        <w:t xml:space="preserve">eaders should provide opportunities for PGR GTAs to discuss their teaching experiences and to provide feedback via Module </w:t>
      </w:r>
      <w:r>
        <w:t>L</w:t>
      </w:r>
      <w:r w:rsidRPr="009666C0">
        <w:t>eaders to their teaching teams and relevant committees</w:t>
      </w:r>
      <w:r w:rsidRPr="00E10B7F">
        <w:rPr>
          <w:rFonts w:eastAsia="DengXian"/>
        </w:rPr>
        <w:t xml:space="preserve">. </w:t>
      </w:r>
    </w:p>
    <w:p w:rsidR="00E10B7F" w:rsidP="00E10B7F" w:rsidRDefault="00E10B7F" w14:paraId="20904A39" w14:textId="77777777">
      <w:pPr>
        <w:pStyle w:val="numberedmainbody"/>
      </w:pPr>
      <w:r w:rsidRPr="00E10B7F">
        <w:rPr>
          <w:rFonts w:eastAsia="DengXian"/>
        </w:rPr>
        <w:t>Module Leaders must ensure that PGR GTAs are viewed as an integral part of their teaching team and may be invited to relevant staff meetings and activities depending on custom and practice within the Academic Unit and to accommodate PGR GTA needs and</w:t>
      </w:r>
      <w:r w:rsidRPr="009666C0">
        <w:t xml:space="preserve"> interests. </w:t>
      </w:r>
    </w:p>
    <w:p w:rsidRPr="00E10B7F" w:rsidR="00E10B7F" w:rsidP="00E10B7F" w:rsidRDefault="00E10B7F" w14:paraId="292C2902" w14:textId="118B1AD0">
      <w:pPr>
        <w:pStyle w:val="numberedmainbody"/>
      </w:pPr>
      <w:r w:rsidRPr="009666C0">
        <w:t xml:space="preserve">Programme Directors should work with the relevant </w:t>
      </w:r>
      <w:r>
        <w:t>M</w:t>
      </w:r>
      <w:r w:rsidRPr="009666C0">
        <w:t xml:space="preserve">odule </w:t>
      </w:r>
      <w:r>
        <w:t>L</w:t>
      </w:r>
      <w:r w:rsidRPr="009666C0">
        <w:t>eaders to ensure that, where possible, there is a consistent, programme level approach to the use of PGR GTAs.</w:t>
      </w:r>
    </w:p>
    <w:p w:rsidR="00E10B7F" w:rsidP="00E10B7F" w:rsidRDefault="00E10B7F" w14:paraId="5E0BEEBB" w14:textId="32A5822B">
      <w:pPr>
        <w:pStyle w:val="Heading1"/>
      </w:pPr>
      <w:bookmarkStart w:name="_Toc146210443" w:id="21"/>
      <w:r>
        <w:t xml:space="preserve">The </w:t>
      </w:r>
      <w:r w:rsidR="005F5BDD">
        <w:t>r</w:t>
      </w:r>
      <w:r>
        <w:t xml:space="preserve">ole of a </w:t>
      </w:r>
      <w:r w:rsidR="005F5BDD">
        <w:t>s</w:t>
      </w:r>
      <w:r>
        <w:t>upervisor</w:t>
      </w:r>
      <w:bookmarkEnd w:id="21"/>
      <w:r>
        <w:t xml:space="preserve">     </w:t>
      </w:r>
    </w:p>
    <w:p w:rsidR="00E10B7F" w:rsidP="00E10B7F" w:rsidRDefault="00E10B7F" w14:paraId="53140C5B" w14:textId="77777777">
      <w:pPr>
        <w:pStyle w:val="numberedmainbody"/>
      </w:pPr>
      <w:r>
        <w:t>S</w:t>
      </w:r>
      <w:r w:rsidRPr="006E0936">
        <w:t>upervisors provide the first line of academic support for PGR GTAs</w:t>
      </w:r>
      <w:r>
        <w:t xml:space="preserve"> and will have responsibility for monitoring progress of the demonstrating and teaching support activity undertaken by the PGR GTA.  Supervisors will need to seek advice from the relevant faculty member (e.g. Teaching Lead/Mentor) regarding the PGR GTAs performance in relation to this element and progress will be documented as part of the regular supervisory meetings. It is imperative that the GTA element does not hinder the progress of the student’s research degree.</w:t>
      </w:r>
    </w:p>
    <w:p w:rsidR="00E10B7F" w:rsidP="00E10B7F" w:rsidRDefault="00E10B7F" w14:paraId="6F6FD9B3" w14:textId="77777777">
      <w:pPr>
        <w:pStyle w:val="numberedmainbody"/>
      </w:pPr>
      <w:r>
        <w:rPr>
          <w:lang w:eastAsia="en-GB"/>
        </w:rPr>
        <w:t xml:space="preserve">Supervisors should also seek advice from the relevant faculty member if they have concerns regarding the PGR GTAs demonstrating/teaching support activity or if the PGR GTA has concerns regarding this element. </w:t>
      </w:r>
    </w:p>
    <w:p w:rsidR="00E10B7F" w:rsidP="00E10B7F" w:rsidRDefault="00E10B7F" w14:paraId="6A01B1B9" w14:textId="651EF37C">
      <w:pPr>
        <w:pStyle w:val="numberedmainbody"/>
      </w:pPr>
      <w:r>
        <w:rPr>
          <w:lang w:eastAsia="en-GB"/>
        </w:rPr>
        <w:t xml:space="preserve">Supervisors should also signpost PGR GTAs to the teacher training modules offered by the Teaching Excellence Academy and the Doctoral College.  </w:t>
      </w:r>
    </w:p>
    <w:p w:rsidR="00E10B7F" w:rsidP="00E10B7F" w:rsidRDefault="00E10B7F" w14:paraId="02062A64" w14:textId="3F2A68D1">
      <w:pPr>
        <w:pStyle w:val="Heading1"/>
      </w:pPr>
      <w:bookmarkStart w:name="_Toc146210444" w:id="22"/>
      <w:r>
        <w:t xml:space="preserve">Pastoral </w:t>
      </w:r>
      <w:r w:rsidR="005F5BDD">
        <w:t>s</w:t>
      </w:r>
      <w:r>
        <w:t>upport</w:t>
      </w:r>
      <w:bookmarkEnd w:id="22"/>
      <w:r>
        <w:t xml:space="preserve">      </w:t>
      </w:r>
    </w:p>
    <w:p w:rsidR="00E10B7F" w:rsidP="00E10B7F" w:rsidRDefault="00E10B7F" w14:paraId="30A331B8" w14:textId="77777777">
      <w:pPr>
        <w:pStyle w:val="numberedmainbody"/>
      </w:pPr>
      <w:r>
        <w:t xml:space="preserve">The provision of pastoral </w:t>
      </w:r>
      <w:r w:rsidRPr="007059E7">
        <w:t>support is not the responsibility of PG</w:t>
      </w:r>
      <w:r>
        <w:t>R GTA.</w:t>
      </w:r>
    </w:p>
    <w:p w:rsidRPr="00E10B7F" w:rsidR="00E10B7F" w:rsidP="00E10B7F" w:rsidRDefault="00E10B7F" w14:paraId="286CBCE6" w14:textId="6CE7D968">
      <w:pPr>
        <w:pStyle w:val="numberedmainbody"/>
      </w:pPr>
      <w:r w:rsidRPr="00E10B7F">
        <w:t xml:space="preserve">Any pastoral advice and guidance provided by PGRs to UG and PGT students will be minimal and will normally involve signposting to relevant services and </w:t>
      </w:r>
      <w:r w:rsidRPr="00E10B7F" w:rsidR="007F59A1">
        <w:t>support or</w:t>
      </w:r>
      <w:r w:rsidRPr="00E10B7F">
        <w:t xml:space="preserve"> referring to Personal Supervisors. </w:t>
      </w:r>
    </w:p>
    <w:p w:rsidR="005F5BDD" w:rsidP="007F59A1" w:rsidRDefault="00E10B7F" w14:paraId="0B04C373" w14:textId="31C579CF">
      <w:pPr>
        <w:pStyle w:val="numberedmainbody"/>
        <w:rPr>
          <w:rFonts w:eastAsia="Times New Roman"/>
          <w:lang w:eastAsia="en-GB"/>
        </w:rPr>
      </w:pPr>
      <w:r w:rsidRPr="00DB5B95">
        <w:rPr>
          <w:rFonts w:eastAsia="Times New Roman"/>
          <w:lang w:eastAsia="en-GB"/>
        </w:rPr>
        <w:t>The main responsibility for pastoral support for UG and PGT remains with their personal supervisors. PGR GTAs must, however, be briefed in this area as part of their training and induction to teaching</w:t>
      </w:r>
      <w:r>
        <w:rPr>
          <w:rFonts w:eastAsia="Times New Roman"/>
          <w:lang w:eastAsia="en-GB"/>
        </w:rPr>
        <w:t xml:space="preserve"> support activity</w:t>
      </w:r>
      <w:r w:rsidRPr="00DB5B95">
        <w:rPr>
          <w:rFonts w:eastAsia="Times New Roman"/>
          <w:lang w:eastAsia="en-GB"/>
        </w:rPr>
        <w:t xml:space="preserve">. </w:t>
      </w:r>
    </w:p>
    <w:p w:rsidR="007F59A1" w:rsidP="007F59A1" w:rsidRDefault="007F59A1" w14:paraId="79E3E4BB" w14:textId="77777777">
      <w:pPr>
        <w:pStyle w:val="numberedmainbody"/>
        <w:numPr>
          <w:ilvl w:val="0"/>
          <w:numId w:val="0"/>
        </w:numPr>
        <w:ind w:left="680"/>
        <w:rPr>
          <w:rFonts w:eastAsia="Times New Roman"/>
          <w:lang w:eastAsia="en-GB"/>
        </w:rPr>
        <w:sectPr w:rsidR="007F59A1">
          <w:pgSz w:w="11906" w:h="16838"/>
          <w:pgMar w:top="1440" w:right="1440" w:bottom="1440" w:left="1440" w:header="708" w:footer="708" w:gutter="0"/>
          <w:cols w:space="708"/>
          <w:formProt w:val="0"/>
          <w:docGrid w:linePitch="360"/>
        </w:sectPr>
      </w:pPr>
    </w:p>
    <w:p w:rsidRPr="007F59A1" w:rsidR="007F59A1" w:rsidP="007F59A1" w:rsidRDefault="007F59A1" w14:paraId="22C13213" w14:textId="77777777">
      <w:pPr>
        <w:pStyle w:val="numberedmainbody"/>
        <w:numPr>
          <w:ilvl w:val="0"/>
          <w:numId w:val="0"/>
        </w:numPr>
        <w:ind w:left="680"/>
        <w:rPr>
          <w:rFonts w:eastAsia="Times New Roman"/>
          <w:lang w:eastAsia="en-GB"/>
        </w:rPr>
      </w:pPr>
    </w:p>
    <w:p w:rsidRPr="00E10B7F" w:rsidR="00E10B7F" w:rsidP="00E10B7F" w:rsidRDefault="00E10B7F" w14:paraId="7DF06B6D" w14:textId="7055149D">
      <w:pPr>
        <w:spacing w:after="240"/>
        <w:rPr>
          <w:rFonts w:eastAsia="Times New Roman"/>
          <w:b/>
          <w:bCs/>
          <w:lang w:eastAsia="en-GB"/>
        </w:rPr>
      </w:pPr>
      <w:r w:rsidRPr="00E10B7F">
        <w:rPr>
          <w:rFonts w:eastAsia="Times New Roman"/>
          <w:b/>
          <w:bCs/>
          <w:lang w:eastAsia="en-GB"/>
        </w:rPr>
        <w:t>List of Abbreviations</w:t>
      </w:r>
    </w:p>
    <w:tbl>
      <w:tblPr>
        <w:tblStyle w:val="TableGrid"/>
        <w:tblW w:w="0" w:type="auto"/>
        <w:tblLook w:val="04A0" w:firstRow="1" w:lastRow="0" w:firstColumn="1" w:lastColumn="0" w:noHBand="0" w:noVBand="1"/>
      </w:tblPr>
      <w:tblGrid>
        <w:gridCol w:w="2547"/>
        <w:gridCol w:w="6469"/>
      </w:tblGrid>
      <w:tr w:rsidR="00E10B7F" w:rsidTr="00376DB0" w14:paraId="3D7FEB2E" w14:textId="77777777">
        <w:tc>
          <w:tcPr>
            <w:tcW w:w="2547" w:type="dxa"/>
          </w:tcPr>
          <w:p w:rsidRPr="009737E7" w:rsidR="00E10B7F" w:rsidP="004F320A" w:rsidRDefault="00E10B7F" w14:paraId="7CDCE9C4" w14:textId="77777777">
            <w:pPr>
              <w:spacing w:after="240"/>
              <w:rPr>
                <w:rFonts w:eastAsia="Times New Roman"/>
                <w:b/>
                <w:bCs/>
                <w:lang w:eastAsia="en-GB"/>
              </w:rPr>
            </w:pPr>
            <w:r w:rsidRPr="009737E7">
              <w:rPr>
                <w:rFonts w:eastAsia="Times New Roman"/>
                <w:b/>
                <w:bCs/>
                <w:lang w:eastAsia="en-GB"/>
              </w:rPr>
              <w:t>Abbreviation</w:t>
            </w:r>
          </w:p>
        </w:tc>
        <w:tc>
          <w:tcPr>
            <w:tcW w:w="6469" w:type="dxa"/>
          </w:tcPr>
          <w:p w:rsidRPr="009737E7" w:rsidR="00E10B7F" w:rsidP="004F320A" w:rsidRDefault="00E10B7F" w14:paraId="42010DEC" w14:textId="77777777">
            <w:pPr>
              <w:spacing w:after="240"/>
              <w:rPr>
                <w:rFonts w:eastAsia="Times New Roman"/>
                <w:b/>
                <w:bCs/>
                <w:lang w:eastAsia="en-GB"/>
              </w:rPr>
            </w:pPr>
            <w:r w:rsidRPr="009737E7">
              <w:rPr>
                <w:rFonts w:eastAsia="Times New Roman"/>
                <w:b/>
                <w:bCs/>
                <w:lang w:eastAsia="en-GB"/>
              </w:rPr>
              <w:t>Definition</w:t>
            </w:r>
          </w:p>
        </w:tc>
      </w:tr>
      <w:tr w:rsidR="00E10B7F" w:rsidTr="00376DB0" w14:paraId="3D5237F3" w14:textId="77777777">
        <w:tc>
          <w:tcPr>
            <w:tcW w:w="2547" w:type="dxa"/>
          </w:tcPr>
          <w:p w:rsidRPr="003E0203" w:rsidR="00E10B7F" w:rsidP="004F320A" w:rsidRDefault="00E10B7F" w14:paraId="6F6E1262" w14:textId="77777777">
            <w:pPr>
              <w:spacing w:after="240"/>
              <w:rPr>
                <w:rFonts w:eastAsia="Times New Roman"/>
                <w:lang w:eastAsia="en-GB"/>
              </w:rPr>
            </w:pPr>
            <w:r w:rsidRPr="003E0203">
              <w:rPr>
                <w:rFonts w:eastAsia="Times New Roman"/>
                <w:lang w:eastAsia="en-GB"/>
              </w:rPr>
              <w:t>AMP</w:t>
            </w:r>
          </w:p>
        </w:tc>
        <w:tc>
          <w:tcPr>
            <w:tcW w:w="6469" w:type="dxa"/>
          </w:tcPr>
          <w:p w:rsidRPr="003E0203" w:rsidR="00E10B7F" w:rsidP="004F320A" w:rsidRDefault="00E10B7F" w14:paraId="6CC42F29" w14:textId="77777777">
            <w:pPr>
              <w:spacing w:after="240"/>
              <w:rPr>
                <w:rFonts w:eastAsia="Times New Roman"/>
                <w:lang w:eastAsia="en-GB"/>
              </w:rPr>
            </w:pPr>
            <w:r w:rsidRPr="00D21D6F">
              <w:t>Annual Monitoring and Progress</w:t>
            </w:r>
          </w:p>
        </w:tc>
      </w:tr>
      <w:tr w:rsidR="00E10B7F" w:rsidTr="00376DB0" w14:paraId="14E4A594" w14:textId="77777777">
        <w:tc>
          <w:tcPr>
            <w:tcW w:w="2547" w:type="dxa"/>
          </w:tcPr>
          <w:p w:rsidRPr="003E0203" w:rsidR="00E10B7F" w:rsidP="004F320A" w:rsidRDefault="00E10B7F" w14:paraId="16392917" w14:textId="77777777">
            <w:pPr>
              <w:spacing w:after="240"/>
              <w:rPr>
                <w:rFonts w:eastAsia="Times New Roman"/>
                <w:lang w:eastAsia="en-GB"/>
              </w:rPr>
            </w:pPr>
            <w:r>
              <w:rPr>
                <w:rFonts w:eastAsia="Times New Roman"/>
                <w:lang w:eastAsia="en-GB"/>
              </w:rPr>
              <w:t>ADE</w:t>
            </w:r>
          </w:p>
        </w:tc>
        <w:tc>
          <w:tcPr>
            <w:tcW w:w="6469" w:type="dxa"/>
          </w:tcPr>
          <w:p w:rsidRPr="00D21D6F" w:rsidR="00E10B7F" w:rsidP="004F320A" w:rsidRDefault="00E10B7F" w14:paraId="29EA1998" w14:textId="77777777">
            <w:pPr>
              <w:spacing w:after="240"/>
            </w:pPr>
            <w:r>
              <w:t>Associate Director of Education</w:t>
            </w:r>
          </w:p>
        </w:tc>
      </w:tr>
      <w:tr w:rsidR="00E10B7F" w:rsidTr="00376DB0" w14:paraId="59A89549" w14:textId="77777777">
        <w:tc>
          <w:tcPr>
            <w:tcW w:w="2547" w:type="dxa"/>
          </w:tcPr>
          <w:p w:rsidRPr="003E0203" w:rsidR="00E10B7F" w:rsidP="004F320A" w:rsidRDefault="00E10B7F" w14:paraId="22B0CB93" w14:textId="77777777">
            <w:pPr>
              <w:spacing w:after="240"/>
              <w:rPr>
                <w:rFonts w:eastAsia="Times New Roman"/>
                <w:lang w:eastAsia="en-GB"/>
              </w:rPr>
            </w:pPr>
            <w:r>
              <w:rPr>
                <w:rFonts w:eastAsia="Times New Roman"/>
                <w:lang w:eastAsia="en-GB"/>
              </w:rPr>
              <w:t>ADR</w:t>
            </w:r>
          </w:p>
        </w:tc>
        <w:tc>
          <w:tcPr>
            <w:tcW w:w="6469" w:type="dxa"/>
          </w:tcPr>
          <w:p w:rsidRPr="00D21D6F" w:rsidR="00E10B7F" w:rsidP="004F320A" w:rsidRDefault="00E10B7F" w14:paraId="737E91B4" w14:textId="77777777">
            <w:pPr>
              <w:spacing w:after="240"/>
            </w:pPr>
            <w:r>
              <w:t>Associate Director of Research</w:t>
            </w:r>
          </w:p>
        </w:tc>
      </w:tr>
      <w:tr w:rsidR="00E10B7F" w:rsidTr="00376DB0" w14:paraId="4E0ADDBB" w14:textId="77777777">
        <w:tc>
          <w:tcPr>
            <w:tcW w:w="2547" w:type="dxa"/>
          </w:tcPr>
          <w:p w:rsidRPr="009737E7" w:rsidR="00E10B7F" w:rsidP="004F320A" w:rsidRDefault="00E10B7F" w14:paraId="3373E4C4" w14:textId="77777777">
            <w:pPr>
              <w:spacing w:after="240"/>
              <w:rPr>
                <w:rFonts w:eastAsia="Times New Roman"/>
                <w:b/>
                <w:bCs/>
                <w:lang w:eastAsia="en-GB"/>
              </w:rPr>
            </w:pPr>
            <w:r>
              <w:t>CPD</w:t>
            </w:r>
          </w:p>
        </w:tc>
        <w:tc>
          <w:tcPr>
            <w:tcW w:w="6469" w:type="dxa"/>
          </w:tcPr>
          <w:p w:rsidRPr="009737E7" w:rsidR="00E10B7F" w:rsidP="004F320A" w:rsidRDefault="00E10B7F" w14:paraId="001C057B" w14:textId="77777777">
            <w:pPr>
              <w:spacing w:after="240"/>
              <w:rPr>
                <w:rFonts w:eastAsia="Times New Roman"/>
                <w:b/>
                <w:bCs/>
                <w:lang w:eastAsia="en-GB"/>
              </w:rPr>
            </w:pPr>
            <w:r>
              <w:t>Continuous Professional Development</w:t>
            </w:r>
          </w:p>
        </w:tc>
      </w:tr>
      <w:tr w:rsidR="00E10B7F" w:rsidTr="00376DB0" w14:paraId="140D5095" w14:textId="77777777">
        <w:tc>
          <w:tcPr>
            <w:tcW w:w="2547" w:type="dxa"/>
          </w:tcPr>
          <w:p w:rsidR="00E10B7F" w:rsidP="004F320A" w:rsidRDefault="00E10B7F" w14:paraId="11E9228F" w14:textId="77777777">
            <w:pPr>
              <w:spacing w:after="240"/>
            </w:pPr>
            <w:r>
              <w:t>HEA</w:t>
            </w:r>
          </w:p>
        </w:tc>
        <w:tc>
          <w:tcPr>
            <w:tcW w:w="6469" w:type="dxa"/>
          </w:tcPr>
          <w:p w:rsidR="00E10B7F" w:rsidP="004F320A" w:rsidRDefault="00E10B7F" w14:paraId="37DF7EB9" w14:textId="77777777">
            <w:pPr>
              <w:spacing w:after="240"/>
            </w:pPr>
            <w:r>
              <w:t xml:space="preserve">Higher Education Academy </w:t>
            </w:r>
          </w:p>
        </w:tc>
      </w:tr>
      <w:tr w:rsidR="00E10B7F" w:rsidTr="00376DB0" w14:paraId="2835F1EC" w14:textId="77777777">
        <w:tc>
          <w:tcPr>
            <w:tcW w:w="2547" w:type="dxa"/>
          </w:tcPr>
          <w:p w:rsidR="00E10B7F" w:rsidP="004F320A" w:rsidRDefault="00E10B7F" w14:paraId="5DD921A5" w14:textId="77777777">
            <w:pPr>
              <w:spacing w:after="240"/>
            </w:pPr>
            <w:r>
              <w:t>MYM</w:t>
            </w:r>
          </w:p>
        </w:tc>
        <w:tc>
          <w:tcPr>
            <w:tcW w:w="6469" w:type="dxa"/>
          </w:tcPr>
          <w:p w:rsidR="00E10B7F" w:rsidP="004F320A" w:rsidRDefault="00E10B7F" w14:paraId="6DEC95A6" w14:textId="77777777">
            <w:pPr>
              <w:spacing w:after="240"/>
            </w:pPr>
            <w:r w:rsidRPr="00D21D6F">
              <w:t>Mid-Year Monitoring</w:t>
            </w:r>
          </w:p>
        </w:tc>
      </w:tr>
      <w:tr w:rsidR="00E10B7F" w:rsidTr="00376DB0" w14:paraId="66D412DA" w14:textId="77777777">
        <w:tc>
          <w:tcPr>
            <w:tcW w:w="2547" w:type="dxa"/>
          </w:tcPr>
          <w:p w:rsidR="00E10B7F" w:rsidP="004F320A" w:rsidRDefault="00E10B7F" w14:paraId="388EC4E0" w14:textId="77777777">
            <w:pPr>
              <w:spacing w:after="240"/>
              <w:rPr>
                <w:rFonts w:eastAsia="Times New Roman"/>
                <w:lang w:eastAsia="en-GB"/>
              </w:rPr>
            </w:pPr>
            <w:r>
              <w:rPr>
                <w:rFonts w:eastAsia="Times New Roman"/>
                <w:lang w:eastAsia="en-GB"/>
              </w:rPr>
              <w:t>PG</w:t>
            </w:r>
          </w:p>
        </w:tc>
        <w:tc>
          <w:tcPr>
            <w:tcW w:w="6469" w:type="dxa"/>
          </w:tcPr>
          <w:p w:rsidR="00E10B7F" w:rsidP="004F320A" w:rsidRDefault="00E10B7F" w14:paraId="58238C8E" w14:textId="77777777">
            <w:pPr>
              <w:spacing w:after="240"/>
              <w:rPr>
                <w:rFonts w:eastAsia="Times New Roman"/>
                <w:lang w:eastAsia="en-GB"/>
              </w:rPr>
            </w:pPr>
            <w:r>
              <w:rPr>
                <w:rFonts w:eastAsia="Times New Roman"/>
                <w:lang w:eastAsia="en-GB"/>
              </w:rPr>
              <w:t>Postgraduate</w:t>
            </w:r>
          </w:p>
        </w:tc>
      </w:tr>
      <w:tr w:rsidR="00E10B7F" w:rsidTr="00376DB0" w14:paraId="2266F0CC" w14:textId="77777777">
        <w:tc>
          <w:tcPr>
            <w:tcW w:w="2547" w:type="dxa"/>
          </w:tcPr>
          <w:p w:rsidR="00E10B7F" w:rsidP="004F320A" w:rsidRDefault="00E10B7F" w14:paraId="70E42B48" w14:textId="77777777">
            <w:pPr>
              <w:spacing w:after="240"/>
              <w:rPr>
                <w:rFonts w:eastAsia="Times New Roman"/>
                <w:lang w:eastAsia="en-GB"/>
              </w:rPr>
            </w:pPr>
            <w:r>
              <w:rPr>
                <w:rFonts w:eastAsia="Times New Roman"/>
                <w:lang w:eastAsia="en-GB"/>
              </w:rPr>
              <w:t>PGR GTA</w:t>
            </w:r>
          </w:p>
        </w:tc>
        <w:tc>
          <w:tcPr>
            <w:tcW w:w="6469" w:type="dxa"/>
          </w:tcPr>
          <w:p w:rsidR="00E10B7F" w:rsidP="004F320A" w:rsidRDefault="00E10B7F" w14:paraId="7C5D4D2F" w14:textId="77777777">
            <w:pPr>
              <w:spacing w:after="240"/>
              <w:rPr>
                <w:rFonts w:eastAsia="Times New Roman"/>
                <w:lang w:eastAsia="en-GB"/>
              </w:rPr>
            </w:pPr>
            <w:r>
              <w:rPr>
                <w:rFonts w:eastAsia="Times New Roman"/>
                <w:lang w:eastAsia="en-GB"/>
              </w:rPr>
              <w:t>Postgraduate Research Graduate Teaching Assistant</w:t>
            </w:r>
          </w:p>
        </w:tc>
      </w:tr>
      <w:tr w:rsidR="00E10B7F" w:rsidTr="00376DB0" w14:paraId="6CD1BE28" w14:textId="77777777">
        <w:tc>
          <w:tcPr>
            <w:tcW w:w="2547" w:type="dxa"/>
          </w:tcPr>
          <w:p w:rsidR="00E10B7F" w:rsidP="004F320A" w:rsidRDefault="00E10B7F" w14:paraId="62308B2A" w14:textId="77777777">
            <w:pPr>
              <w:spacing w:after="240"/>
              <w:rPr>
                <w:rFonts w:eastAsia="Times New Roman"/>
                <w:lang w:eastAsia="en-GB"/>
              </w:rPr>
            </w:pPr>
            <w:r>
              <w:rPr>
                <w:rFonts w:eastAsia="Times New Roman"/>
                <w:lang w:eastAsia="en-GB"/>
              </w:rPr>
              <w:t>PGRs</w:t>
            </w:r>
          </w:p>
        </w:tc>
        <w:tc>
          <w:tcPr>
            <w:tcW w:w="6469" w:type="dxa"/>
          </w:tcPr>
          <w:p w:rsidR="00E10B7F" w:rsidP="004F320A" w:rsidRDefault="00E10B7F" w14:paraId="7B57A7EA" w14:textId="77777777">
            <w:pPr>
              <w:spacing w:after="240"/>
              <w:rPr>
                <w:rFonts w:eastAsia="Times New Roman"/>
                <w:lang w:eastAsia="en-GB"/>
              </w:rPr>
            </w:pPr>
            <w:r>
              <w:rPr>
                <w:rFonts w:eastAsia="Times New Roman"/>
                <w:lang w:eastAsia="en-GB"/>
              </w:rPr>
              <w:t>Postgraduate Researchers</w:t>
            </w:r>
          </w:p>
        </w:tc>
      </w:tr>
      <w:tr w:rsidR="00E10B7F" w:rsidTr="00376DB0" w14:paraId="3DDB87B0" w14:textId="77777777">
        <w:tc>
          <w:tcPr>
            <w:tcW w:w="2547" w:type="dxa"/>
          </w:tcPr>
          <w:p w:rsidR="00E10B7F" w:rsidP="004F320A" w:rsidRDefault="00E10B7F" w14:paraId="4578F200" w14:textId="77777777">
            <w:pPr>
              <w:spacing w:after="240"/>
              <w:rPr>
                <w:rFonts w:eastAsia="Times New Roman"/>
                <w:lang w:eastAsia="en-GB"/>
              </w:rPr>
            </w:pPr>
            <w:r>
              <w:rPr>
                <w:rFonts w:eastAsia="Times New Roman"/>
                <w:lang w:eastAsia="en-GB"/>
              </w:rPr>
              <w:t>PGT</w:t>
            </w:r>
          </w:p>
        </w:tc>
        <w:tc>
          <w:tcPr>
            <w:tcW w:w="6469" w:type="dxa"/>
          </w:tcPr>
          <w:p w:rsidR="00E10B7F" w:rsidP="004F320A" w:rsidRDefault="00E10B7F" w14:paraId="4BE8D260" w14:textId="77777777">
            <w:pPr>
              <w:spacing w:after="240"/>
              <w:rPr>
                <w:rFonts w:eastAsia="Times New Roman"/>
                <w:lang w:eastAsia="en-GB"/>
              </w:rPr>
            </w:pPr>
            <w:r>
              <w:rPr>
                <w:rFonts w:eastAsia="Times New Roman"/>
                <w:lang w:eastAsia="en-GB"/>
              </w:rPr>
              <w:t>Postgraduate Taught</w:t>
            </w:r>
          </w:p>
        </w:tc>
      </w:tr>
      <w:tr w:rsidR="00E10B7F" w:rsidTr="00376DB0" w14:paraId="546AE7CF" w14:textId="77777777">
        <w:tc>
          <w:tcPr>
            <w:tcW w:w="2547" w:type="dxa"/>
          </w:tcPr>
          <w:p w:rsidR="00E10B7F" w:rsidP="004F320A" w:rsidRDefault="00E10B7F" w14:paraId="29F14A79" w14:textId="0E8F8551">
            <w:pPr>
              <w:spacing w:after="240"/>
              <w:rPr>
                <w:rFonts w:eastAsia="Times New Roman"/>
                <w:lang w:eastAsia="en-GB"/>
              </w:rPr>
            </w:pPr>
          </w:p>
        </w:tc>
        <w:tc>
          <w:tcPr>
            <w:tcW w:w="6469" w:type="dxa"/>
          </w:tcPr>
          <w:p w:rsidR="00E10B7F" w:rsidP="004F320A" w:rsidRDefault="00E10B7F" w14:paraId="28C2CE23" w14:textId="32FA2AAD">
            <w:pPr>
              <w:spacing w:after="240"/>
              <w:rPr>
                <w:rFonts w:eastAsia="Times New Roman"/>
                <w:lang w:eastAsia="en-GB"/>
              </w:rPr>
            </w:pPr>
          </w:p>
        </w:tc>
      </w:tr>
      <w:tr w:rsidR="00E10B7F" w:rsidTr="00376DB0" w14:paraId="24D8A220" w14:textId="77777777">
        <w:tc>
          <w:tcPr>
            <w:tcW w:w="2547" w:type="dxa"/>
          </w:tcPr>
          <w:p w:rsidR="00E10B7F" w:rsidP="004F320A" w:rsidRDefault="00E10B7F" w14:paraId="244BDAE6" w14:textId="77777777">
            <w:pPr>
              <w:spacing w:after="240"/>
              <w:rPr>
                <w:rFonts w:eastAsia="Times New Roman"/>
                <w:lang w:eastAsia="en-GB"/>
              </w:rPr>
            </w:pPr>
            <w:r>
              <w:rPr>
                <w:rFonts w:eastAsia="Times New Roman"/>
                <w:lang w:eastAsia="en-GB"/>
              </w:rPr>
              <w:t>PGWT</w:t>
            </w:r>
          </w:p>
        </w:tc>
        <w:tc>
          <w:tcPr>
            <w:tcW w:w="6469" w:type="dxa"/>
          </w:tcPr>
          <w:p w:rsidR="00E10B7F" w:rsidP="004F320A" w:rsidRDefault="00E10B7F" w14:paraId="0D197636" w14:textId="77777777">
            <w:pPr>
              <w:spacing w:after="240"/>
              <w:rPr>
                <w:rFonts w:eastAsia="Times New Roman"/>
                <w:lang w:eastAsia="en-GB"/>
              </w:rPr>
            </w:pPr>
            <w:r w:rsidRPr="00757ABB">
              <w:rPr>
                <w:rFonts w:eastAsia="DengXian" w:cs="Arial"/>
              </w:rPr>
              <w:t>Postgraduate Researchers Who Teach</w:t>
            </w:r>
          </w:p>
        </w:tc>
      </w:tr>
      <w:tr w:rsidR="00E10B7F" w:rsidTr="00376DB0" w14:paraId="1E922637" w14:textId="77777777">
        <w:tc>
          <w:tcPr>
            <w:tcW w:w="2547" w:type="dxa"/>
          </w:tcPr>
          <w:p w:rsidR="00E10B7F" w:rsidP="004F320A" w:rsidRDefault="00E10B7F" w14:paraId="25D07B6B" w14:textId="77777777">
            <w:pPr>
              <w:spacing w:after="240"/>
              <w:rPr>
                <w:rFonts w:eastAsia="Times New Roman"/>
                <w:lang w:eastAsia="en-GB"/>
              </w:rPr>
            </w:pPr>
            <w:r>
              <w:rPr>
                <w:rFonts w:eastAsia="Times New Roman"/>
                <w:lang w:eastAsia="en-GB"/>
              </w:rPr>
              <w:t>PUT</w:t>
            </w:r>
          </w:p>
        </w:tc>
        <w:tc>
          <w:tcPr>
            <w:tcW w:w="6469" w:type="dxa"/>
          </w:tcPr>
          <w:p w:rsidRPr="00757ABB" w:rsidR="00E10B7F" w:rsidP="004F320A" w:rsidRDefault="00E10B7F" w14:paraId="4A1B90E3" w14:textId="77777777">
            <w:pPr>
              <w:spacing w:after="240"/>
              <w:rPr>
                <w:rFonts w:eastAsia="DengXian" w:cs="Arial"/>
              </w:rPr>
            </w:pPr>
            <w:r>
              <w:rPr>
                <w:rFonts w:eastAsia="DengXian" w:cs="Arial"/>
              </w:rPr>
              <w:t>Passport to University Teaching</w:t>
            </w:r>
          </w:p>
        </w:tc>
      </w:tr>
      <w:tr w:rsidR="00E10B7F" w:rsidTr="00376DB0" w14:paraId="114D3D3A" w14:textId="77777777">
        <w:tc>
          <w:tcPr>
            <w:tcW w:w="2547" w:type="dxa"/>
          </w:tcPr>
          <w:p w:rsidR="00E10B7F" w:rsidP="004F320A" w:rsidRDefault="00E10B7F" w14:paraId="67D0C5F9" w14:textId="77777777">
            <w:pPr>
              <w:spacing w:after="240"/>
              <w:rPr>
                <w:rFonts w:eastAsia="Times New Roman"/>
                <w:lang w:eastAsia="en-GB"/>
              </w:rPr>
            </w:pPr>
            <w:r>
              <w:rPr>
                <w:rFonts w:eastAsia="Times New Roman"/>
                <w:lang w:eastAsia="en-GB"/>
              </w:rPr>
              <w:t>TEA</w:t>
            </w:r>
          </w:p>
        </w:tc>
        <w:tc>
          <w:tcPr>
            <w:tcW w:w="6469" w:type="dxa"/>
          </w:tcPr>
          <w:p w:rsidRPr="00757ABB" w:rsidR="00E10B7F" w:rsidP="004F320A" w:rsidRDefault="00E10B7F" w14:paraId="4F47D1EC" w14:textId="77777777">
            <w:pPr>
              <w:spacing w:after="240"/>
              <w:rPr>
                <w:rFonts w:eastAsia="DengXian" w:cs="Arial"/>
              </w:rPr>
            </w:pPr>
            <w:r>
              <w:rPr>
                <w:rFonts w:eastAsia="DengXian" w:cs="Arial"/>
              </w:rPr>
              <w:t>Teaching Excellence Academy</w:t>
            </w:r>
          </w:p>
        </w:tc>
      </w:tr>
      <w:tr w:rsidR="00E10B7F" w:rsidTr="00376DB0" w14:paraId="377DDD2F" w14:textId="77777777">
        <w:tc>
          <w:tcPr>
            <w:tcW w:w="2547" w:type="dxa"/>
          </w:tcPr>
          <w:p w:rsidR="00E10B7F" w:rsidP="004F320A" w:rsidRDefault="00E10B7F" w14:paraId="5B32A286" w14:textId="77777777">
            <w:pPr>
              <w:spacing w:after="240"/>
              <w:rPr>
                <w:rFonts w:eastAsia="Times New Roman"/>
                <w:lang w:eastAsia="en-GB"/>
              </w:rPr>
            </w:pPr>
            <w:r>
              <w:rPr>
                <w:rFonts w:eastAsia="Times New Roman"/>
                <w:lang w:eastAsia="en-GB"/>
              </w:rPr>
              <w:t>UG</w:t>
            </w:r>
          </w:p>
        </w:tc>
        <w:tc>
          <w:tcPr>
            <w:tcW w:w="6469" w:type="dxa"/>
          </w:tcPr>
          <w:p w:rsidR="00E10B7F" w:rsidP="004F320A" w:rsidRDefault="00E10B7F" w14:paraId="4091E152" w14:textId="77777777">
            <w:pPr>
              <w:spacing w:after="240"/>
              <w:rPr>
                <w:rFonts w:eastAsia="Times New Roman"/>
                <w:lang w:eastAsia="en-GB"/>
              </w:rPr>
            </w:pPr>
            <w:r>
              <w:rPr>
                <w:rFonts w:eastAsia="Times New Roman"/>
                <w:lang w:eastAsia="en-GB"/>
              </w:rPr>
              <w:t xml:space="preserve">Undergraduate </w:t>
            </w:r>
          </w:p>
        </w:tc>
      </w:tr>
      <w:tr w:rsidR="00E10B7F" w:rsidTr="00376DB0" w14:paraId="5C1CFD7E" w14:textId="77777777">
        <w:tc>
          <w:tcPr>
            <w:tcW w:w="2547" w:type="dxa"/>
          </w:tcPr>
          <w:p w:rsidR="00E10B7F" w:rsidP="004F320A" w:rsidRDefault="00E10B7F" w14:paraId="729B181B" w14:textId="77777777">
            <w:pPr>
              <w:spacing w:after="240"/>
              <w:rPr>
                <w:rFonts w:eastAsia="Times New Roman"/>
                <w:lang w:eastAsia="en-GB"/>
              </w:rPr>
            </w:pPr>
            <w:proofErr w:type="spellStart"/>
            <w:r>
              <w:rPr>
                <w:rFonts w:eastAsia="Times New Roman"/>
                <w:lang w:eastAsia="en-GB"/>
              </w:rPr>
              <w:t>UoH</w:t>
            </w:r>
            <w:proofErr w:type="spellEnd"/>
          </w:p>
        </w:tc>
        <w:tc>
          <w:tcPr>
            <w:tcW w:w="6469" w:type="dxa"/>
          </w:tcPr>
          <w:p w:rsidR="00E10B7F" w:rsidP="004F320A" w:rsidRDefault="00E10B7F" w14:paraId="42F8C150" w14:textId="77777777">
            <w:pPr>
              <w:spacing w:after="240"/>
              <w:rPr>
                <w:rFonts w:eastAsia="Times New Roman"/>
                <w:lang w:eastAsia="en-GB"/>
              </w:rPr>
            </w:pPr>
            <w:r>
              <w:rPr>
                <w:rFonts w:eastAsia="Times New Roman"/>
                <w:lang w:eastAsia="en-GB"/>
              </w:rPr>
              <w:t>University of Hull</w:t>
            </w:r>
          </w:p>
        </w:tc>
      </w:tr>
    </w:tbl>
    <w:p w:rsidR="00E10B7F" w:rsidP="00E10B7F" w:rsidRDefault="00E10B7F" w14:paraId="0AF09EA3" w14:textId="47D3667A">
      <w:pPr>
        <w:rPr>
          <w:rFonts w:ascii="Calibri" w:hAnsi="Calibri" w:cs="Arial"/>
        </w:rPr>
        <w:sectPr w:rsidR="00E10B7F">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7F59A1" w14:paraId="0B5BB639" w14:textId="30222659">
            <w:pPr>
              <w:rPr>
                <w:rFonts w:ascii="Calibri" w:hAnsi="Calibri" w:cs="Arial"/>
              </w:rPr>
            </w:pPr>
            <w:r>
              <w:rPr>
                <w:rFonts w:ascii="Calibri" w:hAnsi="Calibri" w:cs="Arial"/>
              </w:rPr>
              <w:t>1 00</w:t>
            </w:r>
          </w:p>
        </w:tc>
        <w:tc>
          <w:tcPr>
            <w:tcW w:w="3118" w:type="dxa"/>
          </w:tcPr>
          <w:p w:rsidR="008F2463" w:rsidP="008F2463" w:rsidRDefault="007F59A1" w14:paraId="586A713D" w14:textId="35B4A290">
            <w:pPr>
              <w:rPr>
                <w:rFonts w:ascii="Calibri" w:hAnsi="Calibri" w:cs="Arial"/>
              </w:rPr>
            </w:pPr>
            <w:r>
              <w:rPr>
                <w:rFonts w:ascii="Calibri" w:hAnsi="Calibri" w:cs="Arial"/>
              </w:rPr>
              <w:t xml:space="preserve">Doctoral College </w:t>
            </w:r>
          </w:p>
        </w:tc>
        <w:tc>
          <w:tcPr>
            <w:tcW w:w="1701" w:type="dxa"/>
          </w:tcPr>
          <w:p w:rsidR="008F2463" w:rsidP="008F2463" w:rsidRDefault="007F59A1" w14:paraId="06870469" w14:textId="7159C87F">
            <w:pPr>
              <w:rPr>
                <w:rFonts w:ascii="Calibri" w:hAnsi="Calibri" w:cs="Arial"/>
              </w:rPr>
            </w:pPr>
            <w:r>
              <w:rPr>
                <w:rFonts w:ascii="Calibri" w:hAnsi="Calibri" w:cs="Arial"/>
              </w:rPr>
              <w:t>22 Nov 2023, Senate</w:t>
            </w:r>
          </w:p>
        </w:tc>
        <w:tc>
          <w:tcPr>
            <w:tcW w:w="3827" w:type="dxa"/>
          </w:tcPr>
          <w:p w:rsidR="008F2463" w:rsidP="008F2463" w:rsidRDefault="007F59A1" w14:paraId="6838A029" w14:textId="48292544">
            <w:pPr>
              <w:rPr>
                <w:rFonts w:ascii="Calibri" w:hAnsi="Calibri" w:cs="Arial"/>
              </w:rPr>
            </w:pPr>
            <w:r>
              <w:rPr>
                <w:rFonts w:ascii="Calibri" w:hAnsi="Calibri" w:cs="Arial"/>
              </w:rPr>
              <w:t xml:space="preserve">New </w:t>
            </w:r>
          </w:p>
        </w:tc>
      </w:tr>
      <w:tr w:rsidR="008F2463" w:rsidTr="008F2463" w14:paraId="2B4E243D" w14:textId="5F65423F">
        <w:tc>
          <w:tcPr>
            <w:tcW w:w="988" w:type="dxa"/>
          </w:tcPr>
          <w:p w:rsidR="008F2463" w:rsidP="008F2463" w:rsidRDefault="003A7189" w14:paraId="75C6C97E" w14:textId="10A900D4">
            <w:pPr>
              <w:rPr>
                <w:rFonts w:ascii="Calibri" w:hAnsi="Calibri" w:cs="Arial"/>
              </w:rPr>
            </w:pPr>
            <w:r>
              <w:rPr>
                <w:rFonts w:ascii="Calibri" w:hAnsi="Calibri" w:cs="Arial"/>
              </w:rPr>
              <w:t>2 00</w:t>
            </w:r>
          </w:p>
        </w:tc>
        <w:tc>
          <w:tcPr>
            <w:tcW w:w="3118" w:type="dxa"/>
          </w:tcPr>
          <w:p w:rsidR="008F2463" w:rsidP="008F2463" w:rsidRDefault="003A7189" w14:paraId="662CE0C1" w14:textId="2DFC2555">
            <w:pPr>
              <w:rPr>
                <w:rFonts w:ascii="Calibri" w:hAnsi="Calibri" w:cs="Arial"/>
              </w:rPr>
            </w:pPr>
            <w:r>
              <w:rPr>
                <w:rFonts w:ascii="Calibri" w:hAnsi="Calibri" w:cs="Arial"/>
              </w:rPr>
              <w:t>Doctoral College</w:t>
            </w:r>
          </w:p>
        </w:tc>
        <w:tc>
          <w:tcPr>
            <w:tcW w:w="1701" w:type="dxa"/>
          </w:tcPr>
          <w:p w:rsidR="008F2463" w:rsidP="008F2463" w:rsidRDefault="003A7189" w14:paraId="62B74139" w14:textId="342A505C">
            <w:pPr>
              <w:rPr>
                <w:rFonts w:ascii="Calibri" w:hAnsi="Calibri" w:cs="Arial"/>
              </w:rPr>
            </w:pPr>
            <w:r>
              <w:rPr>
                <w:rFonts w:ascii="Calibri" w:hAnsi="Calibri" w:cs="Arial"/>
              </w:rPr>
              <w:t>11 July 2025, Education Committee</w:t>
            </w:r>
          </w:p>
        </w:tc>
        <w:tc>
          <w:tcPr>
            <w:tcW w:w="3827" w:type="dxa"/>
          </w:tcPr>
          <w:p w:rsidR="008F2463" w:rsidP="008F2463" w:rsidRDefault="003A7189" w14:paraId="4AAB66AB" w14:textId="3904B2E1">
            <w:pPr>
              <w:rPr>
                <w:rFonts w:ascii="Calibri" w:hAnsi="Calibri" w:cs="Arial"/>
              </w:rPr>
            </w:pPr>
            <w:r>
              <w:rPr>
                <w:rFonts w:ascii="Calibri" w:hAnsi="Calibri" w:cs="Arial"/>
              </w:rPr>
              <w:t xml:space="preserve">Housekeeping – replacing Postgraduate Training Scheme with the approved </w:t>
            </w:r>
            <w:r w:rsidR="00BE30B0">
              <w:rPr>
                <w:rFonts w:ascii="Calibri" w:hAnsi="Calibri" w:cs="Arial"/>
              </w:rPr>
              <w:t>PG Certificate in Research Training</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0929" w14:textId="77777777" w:rsidR="0076794D" w:rsidRDefault="0076794D" w:rsidP="00B93213">
      <w:pPr>
        <w:spacing w:after="0" w:line="240" w:lineRule="auto"/>
      </w:pPr>
      <w:r>
        <w:separator/>
      </w:r>
    </w:p>
  </w:endnote>
  <w:endnote w:type="continuationSeparator" w:id="0">
    <w:p w14:paraId="007D5A25" w14:textId="77777777" w:rsidR="0076794D" w:rsidRDefault="0076794D"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655A8339" w:rsidR="001F2BED" w:rsidRDefault="0049165B" w:rsidP="001F2BED">
        <w:pPr>
          <w:pStyle w:val="Footer"/>
          <w:rPr>
            <w:sz w:val="18"/>
            <w:szCs w:val="18"/>
          </w:rPr>
        </w:pPr>
        <w:r>
          <w:rPr>
            <w:sz w:val="18"/>
            <w:szCs w:val="18"/>
          </w:rPr>
          <w:t xml:space="preserve">Policy </w:t>
        </w:r>
        <w:r w:rsidR="009D7D81">
          <w:rPr>
            <w:sz w:val="18"/>
            <w:szCs w:val="18"/>
          </w:rPr>
          <w:t>o</w:t>
        </w:r>
        <w:r>
          <w:rPr>
            <w:sz w:val="18"/>
            <w:szCs w:val="18"/>
          </w:rPr>
          <w:t xml:space="preserve">n Postgraduate Research Graduate Teaching Assistants </w:t>
        </w:r>
      </w:p>
    </w:sdtContent>
  </w:sdt>
  <w:sdt>
    <w:sdtPr>
      <w:rPr>
        <w:sz w:val="18"/>
        <w:szCs w:val="18"/>
      </w:rPr>
      <w:id w:val="-933977766"/>
      <w:lock w:val="sdtLocked"/>
      <w:placeholder>
        <w:docPart w:val="B8DAD9981C7546E2B1C618FD55696EDF"/>
      </w:placeholder>
      <w:text/>
    </w:sdtPr>
    <w:sdtEndPr/>
    <w:sdtContent>
      <w:p w14:paraId="0027C0DF" w14:textId="09CEC5B8" w:rsidR="001F2BED" w:rsidRDefault="009D7D81" w:rsidP="001F2BED">
        <w:pPr>
          <w:pStyle w:val="Footer"/>
          <w:rPr>
            <w:sz w:val="18"/>
            <w:szCs w:val="18"/>
          </w:rPr>
        </w:pPr>
        <w:r>
          <w:rPr>
            <w:sz w:val="18"/>
            <w:szCs w:val="18"/>
          </w:rPr>
          <w:t xml:space="preserve">Doctoral College </w:t>
        </w:r>
      </w:p>
    </w:sdtContent>
  </w:sdt>
  <w:p w14:paraId="00C2D5D0" w14:textId="4A867729" w:rsidR="002E6FFE" w:rsidRPr="00364621" w:rsidRDefault="00BE30B0"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9D7D81">
          <w:rPr>
            <w:sz w:val="18"/>
            <w:szCs w:val="18"/>
          </w:rPr>
          <w:t>V</w:t>
        </w:r>
        <w:r w:rsidR="003A7189">
          <w:rPr>
            <w:sz w:val="18"/>
            <w:szCs w:val="18"/>
          </w:rPr>
          <w:t>2</w:t>
        </w:r>
        <w:r w:rsidR="009D7D81">
          <w:rPr>
            <w:sz w:val="18"/>
            <w:szCs w:val="18"/>
          </w:rPr>
          <w:t xml:space="preserve"> – </w:t>
        </w:r>
        <w:r w:rsidR="003A7189">
          <w:rPr>
            <w:sz w:val="18"/>
            <w:szCs w:val="18"/>
          </w:rPr>
          <w:t>01</w:t>
        </w:r>
        <w:r w:rsidR="009D7D81">
          <w:rPr>
            <w:sz w:val="18"/>
            <w:szCs w:val="18"/>
          </w:rPr>
          <w:t>/</w:t>
        </w:r>
        <w:r w:rsidR="003A7189">
          <w:rPr>
            <w:sz w:val="18"/>
            <w:szCs w:val="18"/>
          </w:rPr>
          <w:t>09</w:t>
        </w:r>
        <w:r w:rsidR="009D7D81">
          <w:rPr>
            <w:sz w:val="18"/>
            <w:szCs w:val="18"/>
          </w:rPr>
          <w:t>/202</w:t>
        </w:r>
        <w:r w:rsidR="003A7189">
          <w:rPr>
            <w:sz w:val="18"/>
            <w:szCs w:val="18"/>
          </w:rPr>
          <w:t>5</w:t>
        </w:r>
      </w:sdtContent>
    </w:sdt>
    <w:r w:rsidR="002E6FFE">
      <w:rPr>
        <w:sz w:val="18"/>
        <w:szCs w:val="18"/>
      </w:rPr>
      <w:tab/>
    </w:r>
    <w:r w:rsidR="002E6FFE">
      <w:rPr>
        <w:sz w:val="18"/>
        <w:szCs w:val="18"/>
      </w:rPr>
      <w:tab/>
    </w:r>
    <w:sdt>
      <w:sdtPr>
        <w:id w:val="-1592310296"/>
        <w:docPartObj>
          <w:docPartGallery w:val="Page Numbers (Bottom of Page)"/>
          <w:docPartUnique/>
        </w:docPartObj>
      </w:sdtPr>
      <w:sdtEndPr>
        <w:rPr>
          <w:noProof/>
          <w:sz w:val="18"/>
          <w:szCs w:val="18"/>
        </w:rPr>
      </w:sdtEndPr>
      <w:sdtContent>
        <w:r w:rsidR="002E6FFE" w:rsidRPr="00BE2156">
          <w:rPr>
            <w:sz w:val="18"/>
            <w:szCs w:val="18"/>
          </w:rPr>
          <w:fldChar w:fldCharType="begin"/>
        </w:r>
        <w:r w:rsidR="002E6FFE" w:rsidRPr="00BE2156">
          <w:rPr>
            <w:sz w:val="18"/>
            <w:szCs w:val="18"/>
          </w:rPr>
          <w:instrText xml:space="preserve"> PAGE   \* MERGEFORMAT </w:instrText>
        </w:r>
        <w:r w:rsidR="002E6FFE" w:rsidRPr="00BE2156">
          <w:rPr>
            <w:sz w:val="18"/>
            <w:szCs w:val="18"/>
          </w:rPr>
          <w:fldChar w:fldCharType="separate"/>
        </w:r>
        <w:r w:rsidR="00B930CC">
          <w:rPr>
            <w:noProof/>
            <w:sz w:val="18"/>
            <w:szCs w:val="18"/>
          </w:rPr>
          <w:t>4</w:t>
        </w:r>
        <w:r w:rsidR="002E6FFE"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54D4085C" w:rsidR="002E6FFE" w:rsidRPr="00D92F00" w:rsidRDefault="002E6FFE" w:rsidP="00A851B0">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7714" w14:textId="77777777" w:rsidR="0076794D" w:rsidRDefault="0076794D" w:rsidP="00B93213">
      <w:pPr>
        <w:spacing w:after="0" w:line="240" w:lineRule="auto"/>
      </w:pPr>
      <w:r>
        <w:separator/>
      </w:r>
    </w:p>
  </w:footnote>
  <w:footnote w:type="continuationSeparator" w:id="0">
    <w:p w14:paraId="41F4969E" w14:textId="77777777" w:rsidR="0076794D" w:rsidRDefault="0076794D"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71D24336" w:rsidR="002E6FFE" w:rsidRDefault="003C0FEB">
    <w:pPr>
      <w:pStyle w:val="Header"/>
    </w:pPr>
    <w:r>
      <w:rPr>
        <w:rFonts w:ascii="Calibri" w:hAnsi="Calibri"/>
        <w:noProof/>
        <w:color w:val="0E1647"/>
        <w:sz w:val="28"/>
        <w:szCs w:val="28"/>
      </w:rPr>
      <w:drawing>
        <wp:anchor distT="0" distB="0" distL="114300" distR="114300" simplePos="0" relativeHeight="251666431" behindDoc="0" locked="0" layoutInCell="1" allowOverlap="1" wp14:anchorId="4C96285F" wp14:editId="7DE90AFA">
          <wp:simplePos x="0" y="0"/>
          <wp:positionH relativeFrom="page">
            <wp:posOffset>6252762</wp:posOffset>
          </wp:positionH>
          <wp:positionV relativeFrom="paragraph">
            <wp:posOffset>-295275</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14:paraId="02C2A5AC" w14:textId="1538B61E" w:rsidR="002E6FFE" w:rsidRDefault="002E6FFE">
    <w:pPr>
      <w:pStyle w:val="Header"/>
    </w:pPr>
  </w:p>
  <w:p w14:paraId="005A5D7A" w14:textId="1DDAE6BB" w:rsidR="002E6FFE" w:rsidRDefault="0079143C">
    <w:pPr>
      <w:pStyle w:val="Header"/>
    </w:pPr>
    <w:r>
      <w:rPr>
        <w:noProof/>
        <w:color w:val="0E1647"/>
        <w:sz w:val="20"/>
        <w:szCs w:val="20"/>
      </w:rPr>
      <w:drawing>
        <wp:anchor distT="0" distB="0" distL="114300" distR="114300" simplePos="0" relativeHeight="251664383" behindDoc="1" locked="0" layoutInCell="1" allowOverlap="1" wp14:anchorId="06839531" wp14:editId="7F24BCAB">
          <wp:simplePos x="0" y="0"/>
          <wp:positionH relativeFrom="page">
            <wp:align>right</wp:align>
          </wp:positionH>
          <wp:positionV relativeFrom="paragraph">
            <wp:posOffset>3783442</wp:posOffset>
          </wp:positionV>
          <wp:extent cx="10913776" cy="1334770"/>
          <wp:effectExtent l="7938" t="0" r="0" b="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13776" cy="133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78294EE2" w:rsidR="002E6FFE" w:rsidRDefault="00A25414" w:rsidP="00A25414">
    <w:pPr>
      <w:pStyle w:val="Header"/>
      <w:tabs>
        <w:tab w:val="clear" w:pos="4513"/>
        <w:tab w:val="clear" w:pos="9026"/>
        <w:tab w:val="left" w:pos="8264"/>
      </w:tabs>
      <w:ind w:left="-142"/>
    </w:pPr>
    <w:r>
      <w:rPr>
        <w:noProof/>
      </w:rPr>
      <w:drawing>
        <wp:anchor distT="0" distB="0" distL="114300" distR="114300" simplePos="0" relativeHeight="251662335" behindDoc="0" locked="0" layoutInCell="1" allowOverlap="1" wp14:anchorId="509A1A91" wp14:editId="036B59A0">
          <wp:simplePos x="0" y="0"/>
          <wp:positionH relativeFrom="margin">
            <wp:posOffset>-97348</wp:posOffset>
          </wp:positionH>
          <wp:positionV relativeFrom="page">
            <wp:posOffset>87464</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6761">
      <w:rPr>
        <w:noProof/>
      </w:rPr>
      <w:drawing>
        <wp:anchor distT="0" distB="0" distL="114300" distR="114300" simplePos="0" relativeHeight="251660287" behindDoc="1" locked="1" layoutInCell="1" allowOverlap="1" wp14:anchorId="5B5515D6" wp14:editId="0470D85E">
          <wp:simplePos x="0" y="0"/>
          <wp:positionH relativeFrom="page">
            <wp:align>right</wp:align>
          </wp:positionH>
          <wp:positionV relativeFrom="page">
            <wp:align>top</wp:align>
          </wp:positionV>
          <wp:extent cx="7559675" cy="1064895"/>
          <wp:effectExtent l="0" t="0" r="3175" b="1905"/>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76918" cy="1067905"/>
                  </a:xfrm>
                  <a:prstGeom prst="rect">
                    <a:avLst/>
                  </a:prstGeom>
                </pic:spPr>
              </pic:pic>
            </a:graphicData>
          </a:graphic>
          <wp14:sizeRelH relativeFrom="margin">
            <wp14:pctWidth>0</wp14:pctWidth>
          </wp14:sizeRelH>
          <wp14:sizeRelV relativeFrom="margin">
            <wp14:pctHeight>0</wp14:pctHeight>
          </wp14:sizeRelV>
        </wp:anchor>
      </w:drawing>
    </w:r>
    <w:r w:rsidR="00B74D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1646"/>
    <w:multiLevelType w:val="multilevel"/>
    <w:tmpl w:val="73BED57A"/>
    <w:styleLink w:val="List21"/>
    <w:lvl w:ilvl="0">
      <w:start w:val="1"/>
      <w:numFmt w:val="bullet"/>
      <w:lvlText w:val="•"/>
      <w:lvlJc w:val="left"/>
      <w:rPr>
        <w:rFonts w:ascii="Arial" w:eastAsia="Arial" w:hAnsi="Arial" w:cs="Arial"/>
        <w:color w:val="000000"/>
        <w:position w:val="0"/>
        <w:lang w:val="en-US"/>
      </w:rPr>
    </w:lvl>
    <w:lvl w:ilvl="1">
      <w:start w:val="1"/>
      <w:numFmt w:val="bullet"/>
      <w:lvlText w:val="o"/>
      <w:lvlJc w:val="left"/>
      <w:rPr>
        <w:rFonts w:ascii="Arial" w:eastAsia="Arial" w:hAnsi="Arial" w:cs="Arial"/>
        <w:color w:val="000000"/>
        <w:position w:val="0"/>
        <w:lang w:val="en-US"/>
      </w:rPr>
    </w:lvl>
    <w:lvl w:ilvl="2">
      <w:start w:val="1"/>
      <w:numFmt w:val="bullet"/>
      <w:lvlText w:val="▪"/>
      <w:lvlJc w:val="left"/>
      <w:rPr>
        <w:rFonts w:ascii="Arial" w:eastAsia="Arial" w:hAnsi="Arial" w:cs="Arial"/>
        <w:color w:val="000000"/>
        <w:position w:val="0"/>
        <w:lang w:val="en-US"/>
      </w:rPr>
    </w:lvl>
    <w:lvl w:ilvl="3">
      <w:start w:val="1"/>
      <w:numFmt w:val="bullet"/>
      <w:lvlText w:val="•"/>
      <w:lvlJc w:val="left"/>
      <w:rPr>
        <w:rFonts w:ascii="Arial" w:eastAsia="Arial" w:hAnsi="Arial" w:cs="Arial"/>
        <w:color w:val="000000"/>
        <w:position w:val="0"/>
        <w:lang w:val="en-US"/>
      </w:rPr>
    </w:lvl>
    <w:lvl w:ilvl="4">
      <w:start w:val="1"/>
      <w:numFmt w:val="bullet"/>
      <w:lvlText w:val="o"/>
      <w:lvlJc w:val="left"/>
      <w:rPr>
        <w:rFonts w:ascii="Arial" w:eastAsia="Arial" w:hAnsi="Arial" w:cs="Arial"/>
        <w:color w:val="000000"/>
        <w:position w:val="0"/>
        <w:lang w:val="en-US"/>
      </w:rPr>
    </w:lvl>
    <w:lvl w:ilvl="5">
      <w:start w:val="1"/>
      <w:numFmt w:val="bullet"/>
      <w:lvlText w:val="▪"/>
      <w:lvlJc w:val="left"/>
      <w:rPr>
        <w:rFonts w:ascii="Arial" w:eastAsia="Arial" w:hAnsi="Arial" w:cs="Arial"/>
        <w:color w:val="000000"/>
        <w:position w:val="0"/>
        <w:lang w:val="en-US"/>
      </w:rPr>
    </w:lvl>
    <w:lvl w:ilvl="6">
      <w:start w:val="1"/>
      <w:numFmt w:val="bullet"/>
      <w:lvlText w:val="•"/>
      <w:lvlJc w:val="left"/>
      <w:rPr>
        <w:rFonts w:ascii="Arial" w:eastAsia="Arial" w:hAnsi="Arial" w:cs="Arial"/>
        <w:color w:val="000000"/>
        <w:position w:val="0"/>
        <w:lang w:val="en-US"/>
      </w:rPr>
    </w:lvl>
    <w:lvl w:ilvl="7">
      <w:start w:val="1"/>
      <w:numFmt w:val="bullet"/>
      <w:lvlText w:val="o"/>
      <w:lvlJc w:val="left"/>
      <w:rPr>
        <w:rFonts w:ascii="Arial" w:eastAsia="Arial" w:hAnsi="Arial" w:cs="Arial"/>
        <w:color w:val="000000"/>
        <w:position w:val="0"/>
        <w:lang w:val="en-US"/>
      </w:rPr>
    </w:lvl>
    <w:lvl w:ilvl="8">
      <w:start w:val="1"/>
      <w:numFmt w:val="bullet"/>
      <w:lvlText w:val="▪"/>
      <w:lvlJc w:val="left"/>
      <w:rPr>
        <w:rFonts w:ascii="Arial" w:eastAsia="Arial" w:hAnsi="Arial" w:cs="Arial"/>
        <w:color w:val="000000"/>
        <w:position w:val="0"/>
        <w:lang w:val="en-US"/>
      </w:rPr>
    </w:lvl>
  </w:abstractNum>
  <w:abstractNum w:abstractNumId="3" w15:restartNumberingAfterBreak="0">
    <w:nsid w:val="02ED7EEC"/>
    <w:multiLevelType w:val="multilevel"/>
    <w:tmpl w:val="020CE36E"/>
    <w:styleLink w:val="List1"/>
    <w:lvl w:ilvl="0">
      <w:start w:val="1"/>
      <w:numFmt w:val="bullet"/>
      <w:lvlText w:val="•"/>
      <w:lvlJc w:val="left"/>
      <w:rPr>
        <w:rFonts w:ascii="Arial" w:eastAsia="Arial" w:hAnsi="Arial" w:cs="Arial"/>
        <w:color w:val="000000"/>
        <w:position w:val="0"/>
        <w:lang w:val="en-US"/>
      </w:rPr>
    </w:lvl>
    <w:lvl w:ilvl="1">
      <w:start w:val="1"/>
      <w:numFmt w:val="bullet"/>
      <w:lvlText w:val="o"/>
      <w:lvlJc w:val="left"/>
      <w:rPr>
        <w:rFonts w:ascii="Arial" w:eastAsia="Arial" w:hAnsi="Arial" w:cs="Arial"/>
        <w:color w:val="000000"/>
        <w:position w:val="0"/>
        <w:lang w:val="en-US"/>
      </w:rPr>
    </w:lvl>
    <w:lvl w:ilvl="2">
      <w:start w:val="1"/>
      <w:numFmt w:val="bullet"/>
      <w:lvlText w:val="▪"/>
      <w:lvlJc w:val="left"/>
      <w:rPr>
        <w:rFonts w:ascii="Arial" w:eastAsia="Arial" w:hAnsi="Arial" w:cs="Arial"/>
        <w:color w:val="000000"/>
        <w:position w:val="0"/>
        <w:lang w:val="en-US"/>
      </w:rPr>
    </w:lvl>
    <w:lvl w:ilvl="3">
      <w:start w:val="1"/>
      <w:numFmt w:val="bullet"/>
      <w:lvlText w:val="•"/>
      <w:lvlJc w:val="left"/>
      <w:rPr>
        <w:rFonts w:ascii="Arial" w:eastAsia="Arial" w:hAnsi="Arial" w:cs="Arial"/>
        <w:color w:val="000000"/>
        <w:position w:val="0"/>
        <w:lang w:val="en-US"/>
      </w:rPr>
    </w:lvl>
    <w:lvl w:ilvl="4">
      <w:start w:val="1"/>
      <w:numFmt w:val="bullet"/>
      <w:lvlText w:val="o"/>
      <w:lvlJc w:val="left"/>
      <w:rPr>
        <w:rFonts w:ascii="Arial" w:eastAsia="Arial" w:hAnsi="Arial" w:cs="Arial"/>
        <w:color w:val="000000"/>
        <w:position w:val="0"/>
        <w:lang w:val="en-US"/>
      </w:rPr>
    </w:lvl>
    <w:lvl w:ilvl="5">
      <w:start w:val="1"/>
      <w:numFmt w:val="bullet"/>
      <w:lvlText w:val="▪"/>
      <w:lvlJc w:val="left"/>
      <w:rPr>
        <w:rFonts w:ascii="Arial" w:eastAsia="Arial" w:hAnsi="Arial" w:cs="Arial"/>
        <w:color w:val="000000"/>
        <w:position w:val="0"/>
        <w:lang w:val="en-US"/>
      </w:rPr>
    </w:lvl>
    <w:lvl w:ilvl="6">
      <w:start w:val="1"/>
      <w:numFmt w:val="bullet"/>
      <w:lvlText w:val="•"/>
      <w:lvlJc w:val="left"/>
      <w:rPr>
        <w:rFonts w:ascii="Arial" w:eastAsia="Arial" w:hAnsi="Arial" w:cs="Arial"/>
        <w:color w:val="000000"/>
        <w:position w:val="0"/>
        <w:lang w:val="en-US"/>
      </w:rPr>
    </w:lvl>
    <w:lvl w:ilvl="7">
      <w:start w:val="1"/>
      <w:numFmt w:val="bullet"/>
      <w:lvlText w:val="o"/>
      <w:lvlJc w:val="left"/>
      <w:rPr>
        <w:rFonts w:ascii="Arial" w:eastAsia="Arial" w:hAnsi="Arial" w:cs="Arial"/>
        <w:color w:val="000000"/>
        <w:position w:val="0"/>
        <w:lang w:val="en-US"/>
      </w:rPr>
    </w:lvl>
    <w:lvl w:ilvl="8">
      <w:start w:val="1"/>
      <w:numFmt w:val="bullet"/>
      <w:lvlText w:val="▪"/>
      <w:lvlJc w:val="left"/>
      <w:rPr>
        <w:rFonts w:ascii="Arial" w:eastAsia="Arial" w:hAnsi="Arial" w:cs="Arial"/>
        <w:color w:val="000000"/>
        <w:position w:val="0"/>
        <w:lang w:val="en-US"/>
      </w:rPr>
    </w:lvl>
  </w:abstractNum>
  <w:abstractNum w:abstractNumId="4" w15:restartNumberingAfterBreak="0">
    <w:nsid w:val="03FC7CC6"/>
    <w:multiLevelType w:val="hybridMultilevel"/>
    <w:tmpl w:val="3196C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7240E1"/>
    <w:multiLevelType w:val="multilevel"/>
    <w:tmpl w:val="8196FBF2"/>
    <w:lvl w:ilvl="0">
      <w:start w:val="4"/>
      <w:numFmt w:val="decimal"/>
      <w:lvlText w:val="%1"/>
      <w:lvlJc w:val="left"/>
      <w:pPr>
        <w:ind w:left="390" w:hanging="390"/>
      </w:pPr>
      <w:rPr>
        <w:rFonts w:eastAsia="DengXian" w:cs="Arial" w:hint="default"/>
      </w:rPr>
    </w:lvl>
    <w:lvl w:ilvl="1">
      <w:start w:val="19"/>
      <w:numFmt w:val="decimal"/>
      <w:lvlText w:val="%1.%2"/>
      <w:lvlJc w:val="left"/>
      <w:pPr>
        <w:ind w:left="390" w:hanging="390"/>
      </w:pPr>
      <w:rPr>
        <w:rFonts w:eastAsia="DengXian" w:cs="Arial" w:hint="default"/>
      </w:rPr>
    </w:lvl>
    <w:lvl w:ilvl="2">
      <w:start w:val="1"/>
      <w:numFmt w:val="decimal"/>
      <w:lvlText w:val="%1.%2.%3"/>
      <w:lvlJc w:val="left"/>
      <w:pPr>
        <w:ind w:left="720" w:hanging="720"/>
      </w:pPr>
      <w:rPr>
        <w:rFonts w:eastAsia="DengXian" w:cs="Arial" w:hint="default"/>
      </w:rPr>
    </w:lvl>
    <w:lvl w:ilvl="3">
      <w:start w:val="1"/>
      <w:numFmt w:val="decimal"/>
      <w:lvlText w:val="%1.%2.%3.%4"/>
      <w:lvlJc w:val="left"/>
      <w:pPr>
        <w:ind w:left="720" w:hanging="720"/>
      </w:pPr>
      <w:rPr>
        <w:rFonts w:eastAsia="DengXian" w:cs="Arial" w:hint="default"/>
      </w:rPr>
    </w:lvl>
    <w:lvl w:ilvl="4">
      <w:start w:val="1"/>
      <w:numFmt w:val="decimal"/>
      <w:lvlText w:val="%1.%2.%3.%4.%5"/>
      <w:lvlJc w:val="left"/>
      <w:pPr>
        <w:ind w:left="1080" w:hanging="1080"/>
      </w:pPr>
      <w:rPr>
        <w:rFonts w:eastAsia="DengXian" w:cs="Arial" w:hint="default"/>
      </w:rPr>
    </w:lvl>
    <w:lvl w:ilvl="5">
      <w:start w:val="1"/>
      <w:numFmt w:val="decimal"/>
      <w:lvlText w:val="%1.%2.%3.%4.%5.%6"/>
      <w:lvlJc w:val="left"/>
      <w:pPr>
        <w:ind w:left="1080" w:hanging="1080"/>
      </w:pPr>
      <w:rPr>
        <w:rFonts w:eastAsia="DengXian" w:cs="Arial" w:hint="default"/>
      </w:rPr>
    </w:lvl>
    <w:lvl w:ilvl="6">
      <w:start w:val="1"/>
      <w:numFmt w:val="decimal"/>
      <w:lvlText w:val="%1.%2.%3.%4.%5.%6.%7"/>
      <w:lvlJc w:val="left"/>
      <w:pPr>
        <w:ind w:left="1440" w:hanging="1440"/>
      </w:pPr>
      <w:rPr>
        <w:rFonts w:eastAsia="DengXian" w:cs="Arial" w:hint="default"/>
      </w:rPr>
    </w:lvl>
    <w:lvl w:ilvl="7">
      <w:start w:val="1"/>
      <w:numFmt w:val="decimal"/>
      <w:lvlText w:val="%1.%2.%3.%4.%5.%6.%7.%8"/>
      <w:lvlJc w:val="left"/>
      <w:pPr>
        <w:ind w:left="1440" w:hanging="1440"/>
      </w:pPr>
      <w:rPr>
        <w:rFonts w:eastAsia="DengXian" w:cs="Arial" w:hint="default"/>
      </w:rPr>
    </w:lvl>
    <w:lvl w:ilvl="8">
      <w:start w:val="1"/>
      <w:numFmt w:val="decimal"/>
      <w:lvlText w:val="%1.%2.%3.%4.%5.%6.%7.%8.%9"/>
      <w:lvlJc w:val="left"/>
      <w:pPr>
        <w:ind w:left="1440" w:hanging="1440"/>
      </w:pPr>
      <w:rPr>
        <w:rFonts w:eastAsia="DengXian" w:cs="Arial" w:hint="default"/>
      </w:rPr>
    </w:lvl>
  </w:abstractNum>
  <w:abstractNum w:abstractNumId="6"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4560A"/>
    <w:multiLevelType w:val="hybridMultilevel"/>
    <w:tmpl w:val="F66AF888"/>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11"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3C27F15"/>
    <w:multiLevelType w:val="multilevel"/>
    <w:tmpl w:val="4D9E1F40"/>
    <w:styleLink w:val="List51"/>
    <w:lvl w:ilvl="0">
      <w:numFmt w:val="bullet"/>
      <w:lvlText w:val="•"/>
      <w:lvlJc w:val="left"/>
      <w:pPr>
        <w:tabs>
          <w:tab w:val="num" w:pos="358"/>
        </w:tabs>
        <w:ind w:left="358" w:hanging="358"/>
      </w:pPr>
      <w:rPr>
        <w:rFonts w:ascii="Arial" w:eastAsia="Arial" w:hAnsi="Arial" w:cs="Arial"/>
        <w:color w:val="000000"/>
        <w:position w:val="0"/>
        <w:sz w:val="20"/>
        <w:szCs w:val="20"/>
      </w:rPr>
    </w:lvl>
    <w:lvl w:ilvl="1">
      <w:start w:val="1"/>
      <w:numFmt w:val="bullet"/>
      <w:lvlText w:val="o"/>
      <w:lvlJc w:val="left"/>
      <w:pPr>
        <w:tabs>
          <w:tab w:val="num" w:pos="106"/>
        </w:tabs>
      </w:pPr>
      <w:rPr>
        <w:rFonts w:ascii="Arial" w:eastAsia="Arial" w:hAnsi="Arial" w:cs="Arial"/>
        <w:color w:val="000000"/>
        <w:position w:val="0"/>
        <w:sz w:val="22"/>
        <w:szCs w:val="22"/>
      </w:rPr>
    </w:lvl>
    <w:lvl w:ilvl="2">
      <w:start w:val="1"/>
      <w:numFmt w:val="bullet"/>
      <w:lvlText w:val="▪"/>
      <w:lvlJc w:val="left"/>
      <w:pPr>
        <w:tabs>
          <w:tab w:val="num" w:pos="106"/>
        </w:tabs>
      </w:pPr>
      <w:rPr>
        <w:rFonts w:ascii="Arial" w:eastAsia="Arial" w:hAnsi="Arial" w:cs="Arial"/>
        <w:color w:val="000000"/>
        <w:position w:val="0"/>
        <w:sz w:val="22"/>
        <w:szCs w:val="22"/>
      </w:rPr>
    </w:lvl>
    <w:lvl w:ilvl="3">
      <w:start w:val="1"/>
      <w:numFmt w:val="bullet"/>
      <w:lvlText w:val="•"/>
      <w:lvlJc w:val="left"/>
      <w:pPr>
        <w:tabs>
          <w:tab w:val="num" w:pos="106"/>
        </w:tabs>
      </w:pPr>
      <w:rPr>
        <w:rFonts w:ascii="Arial" w:eastAsia="Arial" w:hAnsi="Arial" w:cs="Arial"/>
        <w:color w:val="000000"/>
        <w:position w:val="0"/>
        <w:sz w:val="22"/>
        <w:szCs w:val="22"/>
      </w:rPr>
    </w:lvl>
    <w:lvl w:ilvl="4">
      <w:start w:val="1"/>
      <w:numFmt w:val="bullet"/>
      <w:lvlText w:val="o"/>
      <w:lvlJc w:val="left"/>
      <w:pPr>
        <w:tabs>
          <w:tab w:val="num" w:pos="106"/>
        </w:tabs>
      </w:pPr>
      <w:rPr>
        <w:rFonts w:ascii="Arial" w:eastAsia="Arial" w:hAnsi="Arial" w:cs="Arial"/>
        <w:color w:val="000000"/>
        <w:position w:val="0"/>
        <w:sz w:val="22"/>
        <w:szCs w:val="22"/>
      </w:rPr>
    </w:lvl>
    <w:lvl w:ilvl="5">
      <w:start w:val="1"/>
      <w:numFmt w:val="bullet"/>
      <w:lvlText w:val="▪"/>
      <w:lvlJc w:val="left"/>
      <w:pPr>
        <w:tabs>
          <w:tab w:val="num" w:pos="106"/>
        </w:tabs>
      </w:pPr>
      <w:rPr>
        <w:rFonts w:ascii="Arial" w:eastAsia="Arial" w:hAnsi="Arial" w:cs="Arial"/>
        <w:color w:val="000000"/>
        <w:position w:val="0"/>
        <w:sz w:val="22"/>
        <w:szCs w:val="22"/>
      </w:rPr>
    </w:lvl>
    <w:lvl w:ilvl="6">
      <w:start w:val="1"/>
      <w:numFmt w:val="bullet"/>
      <w:lvlText w:val="•"/>
      <w:lvlJc w:val="left"/>
      <w:pPr>
        <w:tabs>
          <w:tab w:val="num" w:pos="106"/>
        </w:tabs>
      </w:pPr>
      <w:rPr>
        <w:rFonts w:ascii="Arial" w:eastAsia="Arial" w:hAnsi="Arial" w:cs="Arial"/>
        <w:color w:val="000000"/>
        <w:position w:val="0"/>
        <w:sz w:val="22"/>
        <w:szCs w:val="22"/>
      </w:rPr>
    </w:lvl>
    <w:lvl w:ilvl="7">
      <w:start w:val="1"/>
      <w:numFmt w:val="bullet"/>
      <w:lvlText w:val="o"/>
      <w:lvlJc w:val="left"/>
      <w:pPr>
        <w:tabs>
          <w:tab w:val="num" w:pos="106"/>
        </w:tabs>
      </w:pPr>
      <w:rPr>
        <w:rFonts w:ascii="Arial" w:eastAsia="Arial" w:hAnsi="Arial" w:cs="Arial"/>
        <w:color w:val="000000"/>
        <w:position w:val="0"/>
        <w:sz w:val="22"/>
        <w:szCs w:val="22"/>
      </w:rPr>
    </w:lvl>
    <w:lvl w:ilvl="8">
      <w:start w:val="1"/>
      <w:numFmt w:val="bullet"/>
      <w:lvlText w:val="▪"/>
      <w:lvlJc w:val="left"/>
      <w:pPr>
        <w:tabs>
          <w:tab w:val="num" w:pos="106"/>
        </w:tabs>
      </w:pPr>
      <w:rPr>
        <w:rFonts w:ascii="Arial" w:eastAsia="Arial" w:hAnsi="Arial" w:cs="Arial"/>
        <w:color w:val="000000"/>
        <w:position w:val="0"/>
        <w:sz w:val="22"/>
        <w:szCs w:val="22"/>
      </w:rPr>
    </w:lvl>
  </w:abstractNum>
  <w:abstractNum w:abstractNumId="13"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A10634"/>
    <w:multiLevelType w:val="multilevel"/>
    <w:tmpl w:val="D23CCD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627892"/>
    <w:multiLevelType w:val="multilevel"/>
    <w:tmpl w:val="7E8670D6"/>
    <w:styleLink w:val="List6"/>
    <w:lvl w:ilvl="0">
      <w:start w:val="1"/>
      <w:numFmt w:val="bullet"/>
      <w:lvlText w:val="•"/>
      <w:lvlJc w:val="left"/>
      <w:pPr>
        <w:tabs>
          <w:tab w:val="num" w:pos="360"/>
        </w:tabs>
        <w:ind w:left="360" w:hanging="360"/>
      </w:pPr>
      <w:rPr>
        <w:rFonts w:ascii="Arial" w:eastAsia="Arial" w:hAnsi="Arial" w:cs="Arial"/>
        <w:color w:val="000000"/>
        <w:position w:val="0"/>
        <w:sz w:val="20"/>
        <w:szCs w:val="20"/>
      </w:rPr>
    </w:lvl>
    <w:lvl w:ilvl="1">
      <w:start w:val="1"/>
      <w:numFmt w:val="bullet"/>
      <w:lvlText w:val="o"/>
      <w:lvlJc w:val="left"/>
      <w:pPr>
        <w:tabs>
          <w:tab w:val="num" w:pos="1373"/>
        </w:tabs>
        <w:ind w:left="1373" w:hanging="303"/>
      </w:pPr>
      <w:rPr>
        <w:rFonts w:ascii="Arial" w:eastAsia="Arial" w:hAnsi="Arial" w:cs="Arial"/>
        <w:color w:val="000000"/>
        <w:position w:val="0"/>
        <w:sz w:val="22"/>
        <w:szCs w:val="22"/>
      </w:rPr>
    </w:lvl>
    <w:lvl w:ilvl="2">
      <w:start w:val="1"/>
      <w:numFmt w:val="bullet"/>
      <w:lvlText w:val="▪"/>
      <w:lvlJc w:val="left"/>
      <w:pPr>
        <w:tabs>
          <w:tab w:val="num" w:pos="2093"/>
        </w:tabs>
        <w:ind w:left="2093" w:hanging="303"/>
      </w:pPr>
      <w:rPr>
        <w:rFonts w:ascii="Arial" w:eastAsia="Arial" w:hAnsi="Arial" w:cs="Arial"/>
        <w:color w:val="000000"/>
        <w:position w:val="0"/>
        <w:sz w:val="22"/>
        <w:szCs w:val="22"/>
      </w:rPr>
    </w:lvl>
    <w:lvl w:ilvl="3">
      <w:start w:val="1"/>
      <w:numFmt w:val="bullet"/>
      <w:lvlText w:val="•"/>
      <w:lvlJc w:val="left"/>
      <w:pPr>
        <w:tabs>
          <w:tab w:val="num" w:pos="2813"/>
        </w:tabs>
        <w:ind w:left="2813" w:hanging="303"/>
      </w:pPr>
      <w:rPr>
        <w:rFonts w:ascii="Arial" w:eastAsia="Arial" w:hAnsi="Arial" w:cs="Arial"/>
        <w:color w:val="000000"/>
        <w:position w:val="0"/>
        <w:sz w:val="22"/>
        <w:szCs w:val="22"/>
      </w:rPr>
    </w:lvl>
    <w:lvl w:ilvl="4">
      <w:start w:val="1"/>
      <w:numFmt w:val="bullet"/>
      <w:lvlText w:val="o"/>
      <w:lvlJc w:val="left"/>
      <w:pPr>
        <w:tabs>
          <w:tab w:val="num" w:pos="3533"/>
        </w:tabs>
        <w:ind w:left="3533" w:hanging="303"/>
      </w:pPr>
      <w:rPr>
        <w:rFonts w:ascii="Arial" w:eastAsia="Arial" w:hAnsi="Arial" w:cs="Arial"/>
        <w:color w:val="000000"/>
        <w:position w:val="0"/>
        <w:sz w:val="22"/>
        <w:szCs w:val="22"/>
      </w:rPr>
    </w:lvl>
    <w:lvl w:ilvl="5">
      <w:start w:val="1"/>
      <w:numFmt w:val="bullet"/>
      <w:lvlText w:val="▪"/>
      <w:lvlJc w:val="left"/>
      <w:pPr>
        <w:tabs>
          <w:tab w:val="num" w:pos="4253"/>
        </w:tabs>
        <w:ind w:left="4253" w:hanging="303"/>
      </w:pPr>
      <w:rPr>
        <w:rFonts w:ascii="Arial" w:eastAsia="Arial" w:hAnsi="Arial" w:cs="Arial"/>
        <w:color w:val="000000"/>
        <w:position w:val="0"/>
        <w:sz w:val="22"/>
        <w:szCs w:val="22"/>
      </w:rPr>
    </w:lvl>
    <w:lvl w:ilvl="6">
      <w:start w:val="1"/>
      <w:numFmt w:val="bullet"/>
      <w:lvlText w:val="•"/>
      <w:lvlJc w:val="left"/>
      <w:pPr>
        <w:tabs>
          <w:tab w:val="num" w:pos="4973"/>
        </w:tabs>
        <w:ind w:left="4973" w:hanging="303"/>
      </w:pPr>
      <w:rPr>
        <w:rFonts w:ascii="Arial" w:eastAsia="Arial" w:hAnsi="Arial" w:cs="Arial"/>
        <w:color w:val="000000"/>
        <w:position w:val="0"/>
        <w:sz w:val="22"/>
        <w:szCs w:val="22"/>
      </w:rPr>
    </w:lvl>
    <w:lvl w:ilvl="7">
      <w:start w:val="1"/>
      <w:numFmt w:val="bullet"/>
      <w:lvlText w:val="o"/>
      <w:lvlJc w:val="left"/>
      <w:pPr>
        <w:tabs>
          <w:tab w:val="num" w:pos="5693"/>
        </w:tabs>
        <w:ind w:left="5693" w:hanging="303"/>
      </w:pPr>
      <w:rPr>
        <w:rFonts w:ascii="Arial" w:eastAsia="Arial" w:hAnsi="Arial" w:cs="Arial"/>
        <w:color w:val="000000"/>
        <w:position w:val="0"/>
        <w:sz w:val="22"/>
        <w:szCs w:val="22"/>
      </w:rPr>
    </w:lvl>
    <w:lvl w:ilvl="8">
      <w:start w:val="1"/>
      <w:numFmt w:val="bullet"/>
      <w:lvlText w:val="▪"/>
      <w:lvlJc w:val="left"/>
      <w:pPr>
        <w:tabs>
          <w:tab w:val="num" w:pos="6413"/>
        </w:tabs>
        <w:ind w:left="6413" w:hanging="303"/>
      </w:pPr>
      <w:rPr>
        <w:rFonts w:ascii="Arial" w:eastAsia="Arial" w:hAnsi="Arial" w:cs="Arial"/>
        <w:color w:val="000000"/>
        <w:position w:val="0"/>
        <w:sz w:val="22"/>
        <w:szCs w:val="22"/>
      </w:rPr>
    </w:lvl>
  </w:abstractNum>
  <w:abstractNum w:abstractNumId="20"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E181F"/>
    <w:multiLevelType w:val="multilevel"/>
    <w:tmpl w:val="029092EC"/>
    <w:lvl w:ilvl="0">
      <w:start w:val="4"/>
      <w:numFmt w:val="decimal"/>
      <w:lvlText w:val="%1"/>
      <w:lvlJc w:val="left"/>
      <w:pPr>
        <w:ind w:left="390" w:hanging="390"/>
      </w:pPr>
      <w:rPr>
        <w:rFonts w:hint="default"/>
      </w:rPr>
    </w:lvl>
    <w:lvl w:ilvl="1">
      <w:start w:val="4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10620"/>
    <w:multiLevelType w:val="multilevel"/>
    <w:tmpl w:val="C36A546C"/>
    <w:lvl w:ilvl="0">
      <w:start w:val="4"/>
      <w:numFmt w:val="decimal"/>
      <w:lvlText w:val="%1."/>
      <w:lvlJc w:val="left"/>
      <w:pPr>
        <w:ind w:left="360" w:hanging="360"/>
      </w:pPr>
      <w:rPr>
        <w:rFonts w:hint="default"/>
      </w:rPr>
    </w:lvl>
    <w:lvl w:ilvl="1">
      <w:start w:val="1"/>
      <w:numFmt w:val="decimal"/>
      <w:isLgl/>
      <w:lvlText w:val="%1.%2"/>
      <w:lvlJc w:val="left"/>
      <w:pPr>
        <w:ind w:left="56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831D55"/>
    <w:multiLevelType w:val="multilevel"/>
    <w:tmpl w:val="1B9C74B8"/>
    <w:styleLink w:val="List0"/>
    <w:lvl w:ilvl="0">
      <w:start w:val="1"/>
      <w:numFmt w:val="bullet"/>
      <w:lvlText w:val="•"/>
      <w:lvlJc w:val="left"/>
      <w:rPr>
        <w:rFonts w:ascii="Arial" w:eastAsia="Arial" w:hAnsi="Arial" w:cs="Arial"/>
        <w:color w:val="000000"/>
        <w:position w:val="0"/>
        <w:lang w:val="en-US"/>
      </w:rPr>
    </w:lvl>
    <w:lvl w:ilvl="1">
      <w:start w:val="1"/>
      <w:numFmt w:val="bullet"/>
      <w:lvlText w:val="o"/>
      <w:lvlJc w:val="left"/>
      <w:rPr>
        <w:rFonts w:ascii="Arial" w:eastAsia="Arial" w:hAnsi="Arial" w:cs="Arial"/>
        <w:color w:val="000000"/>
        <w:position w:val="0"/>
        <w:lang w:val="en-US"/>
      </w:rPr>
    </w:lvl>
    <w:lvl w:ilvl="2">
      <w:start w:val="1"/>
      <w:numFmt w:val="bullet"/>
      <w:lvlText w:val="▪"/>
      <w:lvlJc w:val="left"/>
      <w:rPr>
        <w:rFonts w:ascii="Arial" w:eastAsia="Arial" w:hAnsi="Arial" w:cs="Arial"/>
        <w:color w:val="000000"/>
        <w:position w:val="0"/>
        <w:lang w:val="en-US"/>
      </w:rPr>
    </w:lvl>
    <w:lvl w:ilvl="3">
      <w:start w:val="1"/>
      <w:numFmt w:val="bullet"/>
      <w:lvlText w:val="•"/>
      <w:lvlJc w:val="left"/>
      <w:rPr>
        <w:rFonts w:ascii="Arial" w:eastAsia="Arial" w:hAnsi="Arial" w:cs="Arial"/>
        <w:color w:val="000000"/>
        <w:position w:val="0"/>
        <w:lang w:val="en-US"/>
      </w:rPr>
    </w:lvl>
    <w:lvl w:ilvl="4">
      <w:start w:val="1"/>
      <w:numFmt w:val="bullet"/>
      <w:lvlText w:val="o"/>
      <w:lvlJc w:val="left"/>
      <w:rPr>
        <w:rFonts w:ascii="Arial" w:eastAsia="Arial" w:hAnsi="Arial" w:cs="Arial"/>
        <w:color w:val="000000"/>
        <w:position w:val="0"/>
        <w:lang w:val="en-US"/>
      </w:rPr>
    </w:lvl>
    <w:lvl w:ilvl="5">
      <w:start w:val="1"/>
      <w:numFmt w:val="bullet"/>
      <w:lvlText w:val="▪"/>
      <w:lvlJc w:val="left"/>
      <w:rPr>
        <w:rFonts w:ascii="Arial" w:eastAsia="Arial" w:hAnsi="Arial" w:cs="Arial"/>
        <w:color w:val="000000"/>
        <w:position w:val="0"/>
        <w:lang w:val="en-US"/>
      </w:rPr>
    </w:lvl>
    <w:lvl w:ilvl="6">
      <w:start w:val="1"/>
      <w:numFmt w:val="bullet"/>
      <w:lvlText w:val="•"/>
      <w:lvlJc w:val="left"/>
      <w:rPr>
        <w:rFonts w:ascii="Arial" w:eastAsia="Arial" w:hAnsi="Arial" w:cs="Arial"/>
        <w:color w:val="000000"/>
        <w:position w:val="0"/>
        <w:lang w:val="en-US"/>
      </w:rPr>
    </w:lvl>
    <w:lvl w:ilvl="7">
      <w:start w:val="1"/>
      <w:numFmt w:val="bullet"/>
      <w:lvlText w:val="o"/>
      <w:lvlJc w:val="left"/>
      <w:rPr>
        <w:rFonts w:ascii="Arial" w:eastAsia="Arial" w:hAnsi="Arial" w:cs="Arial"/>
        <w:color w:val="000000"/>
        <w:position w:val="0"/>
        <w:lang w:val="en-US"/>
      </w:rPr>
    </w:lvl>
    <w:lvl w:ilvl="8">
      <w:start w:val="1"/>
      <w:numFmt w:val="bullet"/>
      <w:lvlText w:val="▪"/>
      <w:lvlJc w:val="left"/>
      <w:rPr>
        <w:rFonts w:ascii="Arial" w:eastAsia="Arial" w:hAnsi="Arial" w:cs="Arial"/>
        <w:color w:val="000000"/>
        <w:position w:val="0"/>
        <w:lang w:val="en-US"/>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9" w15:restartNumberingAfterBreak="0">
    <w:nsid w:val="77525072"/>
    <w:multiLevelType w:val="multilevel"/>
    <w:tmpl w:val="FA60F6B2"/>
    <w:styleLink w:val="List31"/>
    <w:lvl w:ilvl="0">
      <w:start w:val="1"/>
      <w:numFmt w:val="bullet"/>
      <w:lvlText w:val="•"/>
      <w:lvlJc w:val="left"/>
      <w:pPr>
        <w:tabs>
          <w:tab w:val="num" w:pos="358"/>
        </w:tabs>
        <w:ind w:left="358" w:hanging="358"/>
      </w:pPr>
      <w:rPr>
        <w:rFonts w:ascii="Arial" w:eastAsia="Arial" w:hAnsi="Arial" w:cs="Arial"/>
        <w:color w:val="000000"/>
        <w:position w:val="0"/>
        <w:sz w:val="20"/>
        <w:szCs w:val="20"/>
      </w:rPr>
    </w:lvl>
    <w:lvl w:ilvl="1">
      <w:start w:val="1"/>
      <w:numFmt w:val="bullet"/>
      <w:lvlText w:val="o"/>
      <w:lvlJc w:val="left"/>
      <w:pPr>
        <w:tabs>
          <w:tab w:val="num" w:pos="1373"/>
        </w:tabs>
        <w:ind w:left="1373" w:hanging="303"/>
      </w:pPr>
      <w:rPr>
        <w:rFonts w:ascii="Arial" w:eastAsia="Arial" w:hAnsi="Arial" w:cs="Arial"/>
        <w:color w:val="000000"/>
        <w:position w:val="0"/>
        <w:sz w:val="22"/>
        <w:szCs w:val="22"/>
      </w:rPr>
    </w:lvl>
    <w:lvl w:ilvl="2">
      <w:start w:val="1"/>
      <w:numFmt w:val="bullet"/>
      <w:lvlText w:val="▪"/>
      <w:lvlJc w:val="left"/>
      <w:pPr>
        <w:tabs>
          <w:tab w:val="num" w:pos="2093"/>
        </w:tabs>
        <w:ind w:left="2093" w:hanging="303"/>
      </w:pPr>
      <w:rPr>
        <w:rFonts w:ascii="Arial" w:eastAsia="Arial" w:hAnsi="Arial" w:cs="Arial"/>
        <w:color w:val="000000"/>
        <w:position w:val="0"/>
        <w:sz w:val="22"/>
        <w:szCs w:val="22"/>
      </w:rPr>
    </w:lvl>
    <w:lvl w:ilvl="3">
      <w:start w:val="1"/>
      <w:numFmt w:val="bullet"/>
      <w:lvlText w:val="•"/>
      <w:lvlJc w:val="left"/>
      <w:pPr>
        <w:tabs>
          <w:tab w:val="num" w:pos="2813"/>
        </w:tabs>
        <w:ind w:left="2813" w:hanging="303"/>
      </w:pPr>
      <w:rPr>
        <w:rFonts w:ascii="Arial" w:eastAsia="Arial" w:hAnsi="Arial" w:cs="Arial"/>
        <w:color w:val="000000"/>
        <w:position w:val="0"/>
        <w:sz w:val="22"/>
        <w:szCs w:val="22"/>
      </w:rPr>
    </w:lvl>
    <w:lvl w:ilvl="4">
      <w:start w:val="1"/>
      <w:numFmt w:val="bullet"/>
      <w:lvlText w:val="o"/>
      <w:lvlJc w:val="left"/>
      <w:pPr>
        <w:tabs>
          <w:tab w:val="num" w:pos="3533"/>
        </w:tabs>
        <w:ind w:left="3533" w:hanging="303"/>
      </w:pPr>
      <w:rPr>
        <w:rFonts w:ascii="Arial" w:eastAsia="Arial" w:hAnsi="Arial" w:cs="Arial"/>
        <w:color w:val="000000"/>
        <w:position w:val="0"/>
        <w:sz w:val="22"/>
        <w:szCs w:val="22"/>
      </w:rPr>
    </w:lvl>
    <w:lvl w:ilvl="5">
      <w:start w:val="1"/>
      <w:numFmt w:val="bullet"/>
      <w:lvlText w:val="▪"/>
      <w:lvlJc w:val="left"/>
      <w:pPr>
        <w:tabs>
          <w:tab w:val="num" w:pos="4253"/>
        </w:tabs>
        <w:ind w:left="4253" w:hanging="303"/>
      </w:pPr>
      <w:rPr>
        <w:rFonts w:ascii="Arial" w:eastAsia="Arial" w:hAnsi="Arial" w:cs="Arial"/>
        <w:color w:val="000000"/>
        <w:position w:val="0"/>
        <w:sz w:val="22"/>
        <w:szCs w:val="22"/>
      </w:rPr>
    </w:lvl>
    <w:lvl w:ilvl="6">
      <w:start w:val="1"/>
      <w:numFmt w:val="bullet"/>
      <w:lvlText w:val="•"/>
      <w:lvlJc w:val="left"/>
      <w:pPr>
        <w:tabs>
          <w:tab w:val="num" w:pos="4973"/>
        </w:tabs>
        <w:ind w:left="4973" w:hanging="303"/>
      </w:pPr>
      <w:rPr>
        <w:rFonts w:ascii="Arial" w:eastAsia="Arial" w:hAnsi="Arial" w:cs="Arial"/>
        <w:color w:val="000000"/>
        <w:position w:val="0"/>
        <w:sz w:val="22"/>
        <w:szCs w:val="22"/>
      </w:rPr>
    </w:lvl>
    <w:lvl w:ilvl="7">
      <w:start w:val="1"/>
      <w:numFmt w:val="bullet"/>
      <w:lvlText w:val="o"/>
      <w:lvlJc w:val="left"/>
      <w:pPr>
        <w:tabs>
          <w:tab w:val="num" w:pos="5693"/>
        </w:tabs>
        <w:ind w:left="5693" w:hanging="303"/>
      </w:pPr>
      <w:rPr>
        <w:rFonts w:ascii="Arial" w:eastAsia="Arial" w:hAnsi="Arial" w:cs="Arial"/>
        <w:color w:val="000000"/>
        <w:position w:val="0"/>
        <w:sz w:val="22"/>
        <w:szCs w:val="22"/>
      </w:rPr>
    </w:lvl>
    <w:lvl w:ilvl="8">
      <w:start w:val="1"/>
      <w:numFmt w:val="bullet"/>
      <w:lvlText w:val="▪"/>
      <w:lvlJc w:val="left"/>
      <w:pPr>
        <w:tabs>
          <w:tab w:val="num" w:pos="6413"/>
        </w:tabs>
        <w:ind w:left="6413" w:hanging="303"/>
      </w:pPr>
      <w:rPr>
        <w:rFonts w:ascii="Arial" w:eastAsia="Arial" w:hAnsi="Arial" w:cs="Arial"/>
        <w:color w:val="000000"/>
        <w:position w:val="0"/>
        <w:sz w:val="22"/>
        <w:szCs w:val="22"/>
      </w:r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26640ED4"/>
    <w:lvl w:ilvl="0">
      <w:start w:val="1"/>
      <w:numFmt w:val="decimal"/>
      <w:pStyle w:val="Heading1"/>
      <w:lvlText w:val="%1."/>
      <w:lvlJc w:val="left"/>
      <w:pPr>
        <w:ind w:left="964"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027293700">
    <w:abstractNumId w:val="20"/>
  </w:num>
  <w:num w:numId="2" w16cid:durableId="1936743982">
    <w:abstractNumId w:val="21"/>
  </w:num>
  <w:num w:numId="3" w16cid:durableId="1926065404">
    <w:abstractNumId w:val="27"/>
  </w:num>
  <w:num w:numId="4" w16cid:durableId="5637247">
    <w:abstractNumId w:val="0"/>
  </w:num>
  <w:num w:numId="5" w16cid:durableId="1682194088">
    <w:abstractNumId w:val="1"/>
  </w:num>
  <w:num w:numId="6" w16cid:durableId="789394395">
    <w:abstractNumId w:val="23"/>
  </w:num>
  <w:num w:numId="7" w16cid:durableId="942498260">
    <w:abstractNumId w:val="30"/>
  </w:num>
  <w:num w:numId="8" w16cid:durableId="263928115">
    <w:abstractNumId w:val="16"/>
  </w:num>
  <w:num w:numId="9" w16cid:durableId="1833132240">
    <w:abstractNumId w:val="25"/>
  </w:num>
  <w:num w:numId="10" w16cid:durableId="561064495">
    <w:abstractNumId w:val="14"/>
  </w:num>
  <w:num w:numId="11" w16cid:durableId="768700232">
    <w:abstractNumId w:val="13"/>
  </w:num>
  <w:num w:numId="12" w16cid:durableId="1305356123">
    <w:abstractNumId w:val="9"/>
  </w:num>
  <w:num w:numId="13" w16cid:durableId="1462382874">
    <w:abstractNumId w:val="31"/>
  </w:num>
  <w:num w:numId="14" w16cid:durableId="7750546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032464">
    <w:abstractNumId w:val="17"/>
  </w:num>
  <w:num w:numId="16" w16cid:durableId="546644551">
    <w:abstractNumId w:val="8"/>
  </w:num>
  <w:num w:numId="17" w16cid:durableId="1356233489">
    <w:abstractNumId w:val="15"/>
  </w:num>
  <w:num w:numId="18" w16cid:durableId="26300428">
    <w:abstractNumId w:val="6"/>
  </w:num>
  <w:num w:numId="19" w16cid:durableId="1356884603">
    <w:abstractNumId w:val="28"/>
  </w:num>
  <w:num w:numId="20" w16cid:durableId="2571762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0667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47780">
    <w:abstractNumId w:val="7"/>
  </w:num>
  <w:num w:numId="23" w16cid:durableId="407699636">
    <w:abstractNumId w:val="32"/>
  </w:num>
  <w:num w:numId="24" w16cid:durableId="1319571287">
    <w:abstractNumId w:val="11"/>
  </w:num>
  <w:num w:numId="25" w16cid:durableId="1625501348">
    <w:abstractNumId w:val="18"/>
  </w:num>
  <w:num w:numId="26" w16cid:durableId="170723739">
    <w:abstractNumId w:val="4"/>
  </w:num>
  <w:num w:numId="27" w16cid:durableId="1206217014">
    <w:abstractNumId w:val="10"/>
  </w:num>
  <w:num w:numId="28" w16cid:durableId="735592679">
    <w:abstractNumId w:val="24"/>
  </w:num>
  <w:num w:numId="29" w16cid:durableId="333804129">
    <w:abstractNumId w:val="26"/>
  </w:num>
  <w:num w:numId="30" w16cid:durableId="1077093465">
    <w:abstractNumId w:val="3"/>
  </w:num>
  <w:num w:numId="31" w16cid:durableId="760836489">
    <w:abstractNumId w:val="2"/>
  </w:num>
  <w:num w:numId="32" w16cid:durableId="1972323937">
    <w:abstractNumId w:val="29"/>
  </w:num>
  <w:num w:numId="33" w16cid:durableId="999885962">
    <w:abstractNumId w:val="12"/>
  </w:num>
  <w:num w:numId="34" w16cid:durableId="798693376">
    <w:abstractNumId w:val="19"/>
  </w:num>
  <w:num w:numId="35" w16cid:durableId="1721630792">
    <w:abstractNumId w:val="5"/>
  </w:num>
  <w:num w:numId="36" w16cid:durableId="9291926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38FA"/>
    <w:rsid w:val="00034F44"/>
    <w:rsid w:val="000367A6"/>
    <w:rsid w:val="00044ADB"/>
    <w:rsid w:val="000516BC"/>
    <w:rsid w:val="00064FA6"/>
    <w:rsid w:val="0006580E"/>
    <w:rsid w:val="0007234A"/>
    <w:rsid w:val="00075E62"/>
    <w:rsid w:val="00076638"/>
    <w:rsid w:val="00086ACC"/>
    <w:rsid w:val="00090301"/>
    <w:rsid w:val="0009168A"/>
    <w:rsid w:val="0009775E"/>
    <w:rsid w:val="000A31AA"/>
    <w:rsid w:val="000B095F"/>
    <w:rsid w:val="000B78FD"/>
    <w:rsid w:val="000D0C4A"/>
    <w:rsid w:val="000D205F"/>
    <w:rsid w:val="000D2A3C"/>
    <w:rsid w:val="000D6F96"/>
    <w:rsid w:val="000E325C"/>
    <w:rsid w:val="000E495E"/>
    <w:rsid w:val="000E70D3"/>
    <w:rsid w:val="000F07B2"/>
    <w:rsid w:val="000F3811"/>
    <w:rsid w:val="00100BD9"/>
    <w:rsid w:val="0010316C"/>
    <w:rsid w:val="0011063A"/>
    <w:rsid w:val="00114F16"/>
    <w:rsid w:val="00117636"/>
    <w:rsid w:val="00126C23"/>
    <w:rsid w:val="001343EE"/>
    <w:rsid w:val="001368F4"/>
    <w:rsid w:val="001419EB"/>
    <w:rsid w:val="00142844"/>
    <w:rsid w:val="00147726"/>
    <w:rsid w:val="00165927"/>
    <w:rsid w:val="001832C2"/>
    <w:rsid w:val="00191ACC"/>
    <w:rsid w:val="001A700C"/>
    <w:rsid w:val="001B4CC8"/>
    <w:rsid w:val="001F15CC"/>
    <w:rsid w:val="001F2BED"/>
    <w:rsid w:val="001F3577"/>
    <w:rsid w:val="002050F8"/>
    <w:rsid w:val="0020693E"/>
    <w:rsid w:val="002203EA"/>
    <w:rsid w:val="002261D1"/>
    <w:rsid w:val="0023213F"/>
    <w:rsid w:val="00250ECE"/>
    <w:rsid w:val="002663DC"/>
    <w:rsid w:val="00266406"/>
    <w:rsid w:val="00281B1D"/>
    <w:rsid w:val="00284A7F"/>
    <w:rsid w:val="0029153B"/>
    <w:rsid w:val="00293EB9"/>
    <w:rsid w:val="002B0483"/>
    <w:rsid w:val="002E01C0"/>
    <w:rsid w:val="002E6FFE"/>
    <w:rsid w:val="002F3DA1"/>
    <w:rsid w:val="002F6127"/>
    <w:rsid w:val="00362DA3"/>
    <w:rsid w:val="00364621"/>
    <w:rsid w:val="0037498D"/>
    <w:rsid w:val="00376DB0"/>
    <w:rsid w:val="00383903"/>
    <w:rsid w:val="00383EE7"/>
    <w:rsid w:val="003A7189"/>
    <w:rsid w:val="003B2AAB"/>
    <w:rsid w:val="003B300F"/>
    <w:rsid w:val="003B558A"/>
    <w:rsid w:val="003C0FEB"/>
    <w:rsid w:val="003C3821"/>
    <w:rsid w:val="003C4347"/>
    <w:rsid w:val="003D372A"/>
    <w:rsid w:val="003D50AD"/>
    <w:rsid w:val="003E747B"/>
    <w:rsid w:val="00401C70"/>
    <w:rsid w:val="00410F9D"/>
    <w:rsid w:val="00416987"/>
    <w:rsid w:val="0042769E"/>
    <w:rsid w:val="004348D1"/>
    <w:rsid w:val="00435AAE"/>
    <w:rsid w:val="0044745F"/>
    <w:rsid w:val="00457569"/>
    <w:rsid w:val="0049165B"/>
    <w:rsid w:val="0049512F"/>
    <w:rsid w:val="004A651B"/>
    <w:rsid w:val="004B146F"/>
    <w:rsid w:val="004B68C6"/>
    <w:rsid w:val="004C694E"/>
    <w:rsid w:val="004F2338"/>
    <w:rsid w:val="00506322"/>
    <w:rsid w:val="00513D59"/>
    <w:rsid w:val="005176E9"/>
    <w:rsid w:val="00526F85"/>
    <w:rsid w:val="00532548"/>
    <w:rsid w:val="00542BCD"/>
    <w:rsid w:val="005503CC"/>
    <w:rsid w:val="00562523"/>
    <w:rsid w:val="00562C6A"/>
    <w:rsid w:val="00567FA3"/>
    <w:rsid w:val="00580259"/>
    <w:rsid w:val="005819E2"/>
    <w:rsid w:val="005826D9"/>
    <w:rsid w:val="00591267"/>
    <w:rsid w:val="005A6998"/>
    <w:rsid w:val="005C7F4B"/>
    <w:rsid w:val="005D0872"/>
    <w:rsid w:val="005D758F"/>
    <w:rsid w:val="005F305C"/>
    <w:rsid w:val="005F46D3"/>
    <w:rsid w:val="005F5BDD"/>
    <w:rsid w:val="00604415"/>
    <w:rsid w:val="00615DF6"/>
    <w:rsid w:val="00616569"/>
    <w:rsid w:val="00617924"/>
    <w:rsid w:val="0062307E"/>
    <w:rsid w:val="00623634"/>
    <w:rsid w:val="00625934"/>
    <w:rsid w:val="006327E3"/>
    <w:rsid w:val="0063750A"/>
    <w:rsid w:val="00644DAC"/>
    <w:rsid w:val="006500B5"/>
    <w:rsid w:val="006525B9"/>
    <w:rsid w:val="0065405C"/>
    <w:rsid w:val="0066766A"/>
    <w:rsid w:val="006701E3"/>
    <w:rsid w:val="00680727"/>
    <w:rsid w:val="006A0831"/>
    <w:rsid w:val="006B2C42"/>
    <w:rsid w:val="006C57EC"/>
    <w:rsid w:val="006D128F"/>
    <w:rsid w:val="006D2013"/>
    <w:rsid w:val="006F062C"/>
    <w:rsid w:val="006F0F63"/>
    <w:rsid w:val="00704FE7"/>
    <w:rsid w:val="00710A5C"/>
    <w:rsid w:val="00710D8B"/>
    <w:rsid w:val="00721A18"/>
    <w:rsid w:val="00723833"/>
    <w:rsid w:val="0072715E"/>
    <w:rsid w:val="007424DA"/>
    <w:rsid w:val="00747486"/>
    <w:rsid w:val="00751C82"/>
    <w:rsid w:val="00765F84"/>
    <w:rsid w:val="0076794D"/>
    <w:rsid w:val="007722C2"/>
    <w:rsid w:val="00781240"/>
    <w:rsid w:val="00784325"/>
    <w:rsid w:val="0079129A"/>
    <w:rsid w:val="0079143C"/>
    <w:rsid w:val="007B15A4"/>
    <w:rsid w:val="007B3005"/>
    <w:rsid w:val="007C1FEB"/>
    <w:rsid w:val="007D456D"/>
    <w:rsid w:val="007E75AF"/>
    <w:rsid w:val="007F59A1"/>
    <w:rsid w:val="007F5E30"/>
    <w:rsid w:val="008004F0"/>
    <w:rsid w:val="00801FFB"/>
    <w:rsid w:val="00822365"/>
    <w:rsid w:val="00836FA7"/>
    <w:rsid w:val="0087565F"/>
    <w:rsid w:val="008967EB"/>
    <w:rsid w:val="008A24D4"/>
    <w:rsid w:val="008A4E7F"/>
    <w:rsid w:val="008C264B"/>
    <w:rsid w:val="008D288F"/>
    <w:rsid w:val="008D4541"/>
    <w:rsid w:val="008E79B5"/>
    <w:rsid w:val="008F2463"/>
    <w:rsid w:val="008F34C8"/>
    <w:rsid w:val="009117B6"/>
    <w:rsid w:val="00916886"/>
    <w:rsid w:val="00936E32"/>
    <w:rsid w:val="00944EE4"/>
    <w:rsid w:val="00954614"/>
    <w:rsid w:val="00955C59"/>
    <w:rsid w:val="00966661"/>
    <w:rsid w:val="009666BD"/>
    <w:rsid w:val="0098217A"/>
    <w:rsid w:val="0098688D"/>
    <w:rsid w:val="00997382"/>
    <w:rsid w:val="009A3345"/>
    <w:rsid w:val="009A54D6"/>
    <w:rsid w:val="009C131D"/>
    <w:rsid w:val="009C3AB3"/>
    <w:rsid w:val="009D7D81"/>
    <w:rsid w:val="009E3063"/>
    <w:rsid w:val="009E3F43"/>
    <w:rsid w:val="009E7A37"/>
    <w:rsid w:val="009F20A5"/>
    <w:rsid w:val="00A01DD0"/>
    <w:rsid w:val="00A25414"/>
    <w:rsid w:val="00A43969"/>
    <w:rsid w:val="00A45CB8"/>
    <w:rsid w:val="00A501DE"/>
    <w:rsid w:val="00A70AA4"/>
    <w:rsid w:val="00A77CAA"/>
    <w:rsid w:val="00A811AD"/>
    <w:rsid w:val="00A83A08"/>
    <w:rsid w:val="00A851B0"/>
    <w:rsid w:val="00A87A3E"/>
    <w:rsid w:val="00A90059"/>
    <w:rsid w:val="00A92FE5"/>
    <w:rsid w:val="00A965E6"/>
    <w:rsid w:val="00AB02EF"/>
    <w:rsid w:val="00AB5DF0"/>
    <w:rsid w:val="00AB5F7C"/>
    <w:rsid w:val="00AF48FB"/>
    <w:rsid w:val="00B04BCB"/>
    <w:rsid w:val="00B12018"/>
    <w:rsid w:val="00B17C45"/>
    <w:rsid w:val="00B230A8"/>
    <w:rsid w:val="00B23175"/>
    <w:rsid w:val="00B23C55"/>
    <w:rsid w:val="00B2407D"/>
    <w:rsid w:val="00B306BB"/>
    <w:rsid w:val="00B34018"/>
    <w:rsid w:val="00B40189"/>
    <w:rsid w:val="00B50A1E"/>
    <w:rsid w:val="00B63D21"/>
    <w:rsid w:val="00B724D6"/>
    <w:rsid w:val="00B740F0"/>
    <w:rsid w:val="00B74D92"/>
    <w:rsid w:val="00B750FC"/>
    <w:rsid w:val="00B83677"/>
    <w:rsid w:val="00B845D2"/>
    <w:rsid w:val="00B85178"/>
    <w:rsid w:val="00B91F68"/>
    <w:rsid w:val="00B926BC"/>
    <w:rsid w:val="00B930CC"/>
    <w:rsid w:val="00B93213"/>
    <w:rsid w:val="00B95BAD"/>
    <w:rsid w:val="00BA6378"/>
    <w:rsid w:val="00BA6B87"/>
    <w:rsid w:val="00BB08BF"/>
    <w:rsid w:val="00BD6045"/>
    <w:rsid w:val="00BE2156"/>
    <w:rsid w:val="00BE30B0"/>
    <w:rsid w:val="00BF176A"/>
    <w:rsid w:val="00BF262A"/>
    <w:rsid w:val="00C004DB"/>
    <w:rsid w:val="00C038C7"/>
    <w:rsid w:val="00C03F4D"/>
    <w:rsid w:val="00C23D9F"/>
    <w:rsid w:val="00C26EAA"/>
    <w:rsid w:val="00C4243B"/>
    <w:rsid w:val="00C557E3"/>
    <w:rsid w:val="00C63CAD"/>
    <w:rsid w:val="00C64EEA"/>
    <w:rsid w:val="00C65652"/>
    <w:rsid w:val="00C71EE6"/>
    <w:rsid w:val="00C76761"/>
    <w:rsid w:val="00C76903"/>
    <w:rsid w:val="00C772E4"/>
    <w:rsid w:val="00C87A9A"/>
    <w:rsid w:val="00C96ED5"/>
    <w:rsid w:val="00CA0AF7"/>
    <w:rsid w:val="00CA611C"/>
    <w:rsid w:val="00CB4DFA"/>
    <w:rsid w:val="00CB6FB1"/>
    <w:rsid w:val="00CD0EF5"/>
    <w:rsid w:val="00CD7921"/>
    <w:rsid w:val="00CE07EB"/>
    <w:rsid w:val="00CE2B97"/>
    <w:rsid w:val="00D04188"/>
    <w:rsid w:val="00D24747"/>
    <w:rsid w:val="00D37442"/>
    <w:rsid w:val="00D40529"/>
    <w:rsid w:val="00D448AB"/>
    <w:rsid w:val="00D650AF"/>
    <w:rsid w:val="00D67E17"/>
    <w:rsid w:val="00D70650"/>
    <w:rsid w:val="00D74202"/>
    <w:rsid w:val="00D74261"/>
    <w:rsid w:val="00D751DA"/>
    <w:rsid w:val="00D86D8F"/>
    <w:rsid w:val="00D92F00"/>
    <w:rsid w:val="00DA5BC8"/>
    <w:rsid w:val="00DB168D"/>
    <w:rsid w:val="00DE0E2F"/>
    <w:rsid w:val="00DE7DE6"/>
    <w:rsid w:val="00DF38D3"/>
    <w:rsid w:val="00E022A8"/>
    <w:rsid w:val="00E10B7F"/>
    <w:rsid w:val="00E137B8"/>
    <w:rsid w:val="00E14979"/>
    <w:rsid w:val="00E3144F"/>
    <w:rsid w:val="00E36D4A"/>
    <w:rsid w:val="00E42E5E"/>
    <w:rsid w:val="00E4564F"/>
    <w:rsid w:val="00E91235"/>
    <w:rsid w:val="00E967DE"/>
    <w:rsid w:val="00EB17E4"/>
    <w:rsid w:val="00EB20C7"/>
    <w:rsid w:val="00EC2CDE"/>
    <w:rsid w:val="00EC30AD"/>
    <w:rsid w:val="00EC4B8F"/>
    <w:rsid w:val="00ED39EB"/>
    <w:rsid w:val="00EE7735"/>
    <w:rsid w:val="00F01270"/>
    <w:rsid w:val="00F24D55"/>
    <w:rsid w:val="00F4191D"/>
    <w:rsid w:val="00F43353"/>
    <w:rsid w:val="00F530EA"/>
    <w:rsid w:val="00F56FEA"/>
    <w:rsid w:val="00F65878"/>
    <w:rsid w:val="00F70AE5"/>
    <w:rsid w:val="00F80C00"/>
    <w:rsid w:val="00F82F67"/>
    <w:rsid w:val="00F9136C"/>
    <w:rsid w:val="00FA4EAC"/>
    <w:rsid w:val="00FB14D9"/>
    <w:rsid w:val="00FB3816"/>
    <w:rsid w:val="00FB5CFC"/>
    <w:rsid w:val="00FD53A3"/>
    <w:rsid w:val="00FD7549"/>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2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2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customStyle="1" w:styleId="Body">
    <w:name w:val="Body"/>
    <w:uiPriority w:val="99"/>
    <w:rsid w:val="00C004D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numbering" w:customStyle="1" w:styleId="List0">
    <w:name w:val="List 0"/>
    <w:basedOn w:val="NoList"/>
    <w:rsid w:val="00C004DB"/>
    <w:pPr>
      <w:numPr>
        <w:numId w:val="29"/>
      </w:numPr>
    </w:pPr>
  </w:style>
  <w:style w:type="numbering" w:customStyle="1" w:styleId="List1">
    <w:name w:val="List 1"/>
    <w:basedOn w:val="NoList"/>
    <w:rsid w:val="00C004DB"/>
    <w:pPr>
      <w:numPr>
        <w:numId w:val="30"/>
      </w:numPr>
    </w:pPr>
  </w:style>
  <w:style w:type="numbering" w:customStyle="1" w:styleId="List21">
    <w:name w:val="List 21"/>
    <w:basedOn w:val="NoList"/>
    <w:rsid w:val="00C004DB"/>
    <w:pPr>
      <w:numPr>
        <w:numId w:val="31"/>
      </w:numPr>
    </w:pPr>
  </w:style>
  <w:style w:type="numbering" w:customStyle="1" w:styleId="List31">
    <w:name w:val="List 31"/>
    <w:basedOn w:val="NoList"/>
    <w:rsid w:val="00C004DB"/>
    <w:pPr>
      <w:numPr>
        <w:numId w:val="32"/>
      </w:numPr>
    </w:pPr>
  </w:style>
  <w:style w:type="numbering" w:customStyle="1" w:styleId="List51">
    <w:name w:val="List 51"/>
    <w:basedOn w:val="NoList"/>
    <w:rsid w:val="00C004DB"/>
    <w:pPr>
      <w:numPr>
        <w:numId w:val="33"/>
      </w:numPr>
    </w:pPr>
  </w:style>
  <w:style w:type="numbering" w:customStyle="1" w:styleId="List6">
    <w:name w:val="List 6"/>
    <w:basedOn w:val="NoList"/>
    <w:rsid w:val="00C004DB"/>
    <w:pPr>
      <w:numPr>
        <w:numId w:val="34"/>
      </w:numPr>
    </w:pPr>
  </w:style>
  <w:style w:type="character" w:customStyle="1" w:styleId="cf01">
    <w:name w:val="cf01"/>
    <w:basedOn w:val="DefaultParagraphFont"/>
    <w:rsid w:val="00DF38D3"/>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C96ED5"/>
    <w:rPr>
      <w:color w:val="954F72" w:themeColor="followedHyperlink"/>
      <w:u w:val="single"/>
    </w:rPr>
  </w:style>
  <w:style w:type="paragraph" w:styleId="Revision">
    <w:name w:val="Revision"/>
    <w:hidden/>
    <w:uiPriority w:val="99"/>
    <w:semiHidden/>
    <w:rsid w:val="00232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docs/quality/research-degree-provision/ucop-postgraduate-research-students.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1CBD" w:rsidP="00441CBD">
          <w:pPr>
            <w:pStyle w:val="AC188788C3B04E1C8CE210811247A0B133"/>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1CBD" w:rsidP="00441CBD">
          <w:pPr>
            <w:pStyle w:val="1EA27BD2A306406F97B701ADB2BB924332"/>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3AC3D1EDCC8F47A4ADF03CD3E2865C75"/>
        <w:category>
          <w:name w:val="General"/>
          <w:gallery w:val="placeholder"/>
        </w:category>
        <w:types>
          <w:type w:val="bbPlcHdr"/>
        </w:types>
        <w:behaviors>
          <w:behavior w:val="content"/>
        </w:behaviors>
        <w:guid w:val="{6AAB3473-0A90-4C4E-8ABE-ABD4231CBD50}"/>
      </w:docPartPr>
      <w:docPartBody>
        <w:p w:rsidR="000B107E" w:rsidRDefault="00441CBD" w:rsidP="00441CBD">
          <w:pPr>
            <w:pStyle w:val="3AC3D1EDCC8F47A4ADF03CD3E2865C7532"/>
          </w:pPr>
          <w:r w:rsidRPr="00D069B9">
            <w:rPr>
              <w:rStyle w:val="PlaceholderText"/>
            </w:rPr>
            <w:t>Choose an item.</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1CBD" w:rsidP="00441CBD">
          <w:pPr>
            <w:pStyle w:val="A8DC3868FC9E40EC826E158C137CBD2631"/>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1CBD" w:rsidP="00441CBD">
          <w:pPr>
            <w:pStyle w:val="62C41C20E81949E993B2E135F6E5B6C431"/>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1CBD" w:rsidP="00441CBD">
          <w:pPr>
            <w:pStyle w:val="1C66106365EE4E8E9637EB3C2FFC4EB131"/>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1CBD" w:rsidP="00441CBD">
          <w:pPr>
            <w:pStyle w:val="B63FFFD1024C4C1C970B026F5C14C46131"/>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1CBD" w:rsidP="00441CBD">
          <w:pPr>
            <w:pStyle w:val="AF06378BD3BB4BC98F84E76667943F3230"/>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1CBD" w:rsidP="00441CBD">
          <w:pPr>
            <w:pStyle w:val="FC063C4D168F437487F539AAAE4F418829"/>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1CBD" w:rsidP="00441CBD">
          <w:pPr>
            <w:pStyle w:val="05FFFD26DC684CB89C88A7709240FCAA29"/>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1CBD" w:rsidP="00441CBD">
          <w:pPr>
            <w:pStyle w:val="F59A23A122CC4B5FAEDA979880BE5BA018"/>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1CBD" w:rsidP="00441CBD">
          <w:pPr>
            <w:pStyle w:val="A6FE8F20E48D412CAB9D9862572EC7D317"/>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D91D4C" w:rsidRDefault="00441CBD" w:rsidP="00441CBD">
          <w:pPr>
            <w:pStyle w:val="0CE50B01D0404DD9B38BAED0676285C810"/>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D91D4C" w:rsidRDefault="00441CBD" w:rsidP="00441CBD">
          <w:pPr>
            <w:pStyle w:val="B8DAD9981C7546E2B1C618FD55696EDF10"/>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D91D4C" w:rsidRDefault="00441CBD" w:rsidP="00441CBD">
          <w:pPr>
            <w:pStyle w:val="A02098E4415E49AAA88B8ECB31A07E1710"/>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D91D4C" w:rsidRDefault="00441CBD" w:rsidP="00441CBD">
          <w:pPr>
            <w:pStyle w:val="441778CDCFB040C796E3170B4CBC6BD07"/>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EF4EE6CA913F4578AB0E03B445A60254"/>
        <w:category>
          <w:name w:val="General"/>
          <w:gallery w:val="placeholder"/>
        </w:category>
        <w:types>
          <w:type w:val="bbPlcHdr"/>
        </w:types>
        <w:behaviors>
          <w:behavior w:val="content"/>
        </w:behaviors>
        <w:guid w:val="{0F7F1AA1-FA96-4158-B7C5-3AB48F71E2D8}"/>
      </w:docPartPr>
      <w:docPartBody>
        <w:p w:rsidR="00627A49" w:rsidRDefault="00441CBD" w:rsidP="00441CBD">
          <w:pPr>
            <w:pStyle w:val="EF4EE6CA913F4578AB0E03B445A602545"/>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B68645DDE8764F57B56A7B4B2E493586"/>
        <w:category>
          <w:name w:val="General"/>
          <w:gallery w:val="placeholder"/>
        </w:category>
        <w:types>
          <w:type w:val="bbPlcHdr"/>
        </w:types>
        <w:behaviors>
          <w:behavior w:val="content"/>
        </w:behaviors>
        <w:guid w:val="{8290F13E-8FF1-4BF8-A871-50E38B0A5D04}"/>
      </w:docPartPr>
      <w:docPartBody>
        <w:p w:rsidR="00BD71E0" w:rsidRDefault="00BD71E0" w:rsidP="00BD71E0">
          <w:pPr>
            <w:pStyle w:val="B68645DDE8764F57B56A7B4B2E493586"/>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C51E704741BD4ED78DEFE3D824636C62"/>
        <w:category>
          <w:name w:val="General"/>
          <w:gallery w:val="placeholder"/>
        </w:category>
        <w:types>
          <w:type w:val="bbPlcHdr"/>
        </w:types>
        <w:behaviors>
          <w:behavior w:val="content"/>
        </w:behaviors>
        <w:guid w:val="{0DAB7913-572F-41DB-B43C-EF8950A0DF82}"/>
      </w:docPartPr>
      <w:docPartBody>
        <w:p w:rsidR="00BD71E0" w:rsidRDefault="00BD71E0" w:rsidP="00BD71E0">
          <w:pPr>
            <w:pStyle w:val="C51E704741BD4ED78DEFE3D824636C62"/>
          </w:pPr>
          <w:r w:rsidRPr="00D069B9">
            <w:rPr>
              <w:rStyle w:val="PlaceholderText"/>
            </w:rPr>
            <w:t xml:space="preserve">Click or tap here to enter </w:t>
          </w:r>
          <w:r>
            <w:rPr>
              <w:rStyle w:val="PlaceholderText"/>
            </w:rPr>
            <w:t>document title</w:t>
          </w:r>
          <w:r w:rsidRPr="00D069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35FDF"/>
    <w:rsid w:val="000B107E"/>
    <w:rsid w:val="00441CBD"/>
    <w:rsid w:val="00544843"/>
    <w:rsid w:val="00627A49"/>
    <w:rsid w:val="0078176E"/>
    <w:rsid w:val="007F5665"/>
    <w:rsid w:val="00937783"/>
    <w:rsid w:val="00A55E21"/>
    <w:rsid w:val="00B306BB"/>
    <w:rsid w:val="00B73B50"/>
    <w:rsid w:val="00BD71E0"/>
    <w:rsid w:val="00CB4DFA"/>
    <w:rsid w:val="00D04188"/>
    <w:rsid w:val="00D70650"/>
    <w:rsid w:val="00D91D4C"/>
    <w:rsid w:val="00E91235"/>
    <w:rsid w:val="00E93D61"/>
    <w:rsid w:val="00EC30AD"/>
    <w:rsid w:val="00F73B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1E0"/>
    <w:rPr>
      <w:color w:val="808080"/>
    </w:rPr>
  </w:style>
  <w:style w:type="paragraph" w:customStyle="1" w:styleId="BD782722AB754AF38795AB28BC7E76F5">
    <w:name w:val="BD782722AB754AF38795AB28BC7E76F5"/>
    <w:rsid w:val="000B107E"/>
  </w:style>
  <w:style w:type="paragraph" w:customStyle="1" w:styleId="1EA27BD2A306406F97B701ADB2BB924332">
    <w:name w:val="1EA27BD2A306406F97B701ADB2BB924332"/>
    <w:rsid w:val="00441CBD"/>
  </w:style>
  <w:style w:type="paragraph" w:customStyle="1" w:styleId="3AC3D1EDCC8F47A4ADF03CD3E2865C7532">
    <w:name w:val="3AC3D1EDCC8F47A4ADF03CD3E2865C7532"/>
    <w:rsid w:val="00441CBD"/>
  </w:style>
  <w:style w:type="paragraph" w:customStyle="1" w:styleId="A8DC3868FC9E40EC826E158C137CBD2631">
    <w:name w:val="A8DC3868FC9E40EC826E158C137CBD2631"/>
    <w:rsid w:val="00441CBD"/>
  </w:style>
  <w:style w:type="paragraph" w:customStyle="1" w:styleId="62C41C20E81949E993B2E135F6E5B6C431">
    <w:name w:val="62C41C20E81949E993B2E135F6E5B6C431"/>
    <w:rsid w:val="00441CBD"/>
  </w:style>
  <w:style w:type="paragraph" w:customStyle="1" w:styleId="AC188788C3B04E1C8CE210811247A0B133">
    <w:name w:val="AC188788C3B04E1C8CE210811247A0B133"/>
    <w:rsid w:val="00441CBD"/>
  </w:style>
  <w:style w:type="paragraph" w:customStyle="1" w:styleId="1C66106365EE4E8E9637EB3C2FFC4EB131">
    <w:name w:val="1C66106365EE4E8E9637EB3C2FFC4EB131"/>
    <w:rsid w:val="00441CBD"/>
  </w:style>
  <w:style w:type="paragraph" w:customStyle="1" w:styleId="B63FFFD1024C4C1C970B026F5C14C46131">
    <w:name w:val="B63FFFD1024C4C1C970B026F5C14C46131"/>
    <w:rsid w:val="00441CBD"/>
  </w:style>
  <w:style w:type="paragraph" w:customStyle="1" w:styleId="AF06378BD3BB4BC98F84E76667943F3230">
    <w:name w:val="AF06378BD3BB4BC98F84E76667943F3230"/>
    <w:rsid w:val="00441CBD"/>
  </w:style>
  <w:style w:type="paragraph" w:customStyle="1" w:styleId="FC063C4D168F437487F539AAAE4F418829">
    <w:name w:val="FC063C4D168F437487F539AAAE4F418829"/>
    <w:rsid w:val="00441CBD"/>
  </w:style>
  <w:style w:type="paragraph" w:customStyle="1" w:styleId="05FFFD26DC684CB89C88A7709240FCAA29">
    <w:name w:val="05FFFD26DC684CB89C88A7709240FCAA29"/>
    <w:rsid w:val="00441CBD"/>
  </w:style>
  <w:style w:type="paragraph" w:customStyle="1" w:styleId="F59A23A122CC4B5FAEDA979880BE5BA018">
    <w:name w:val="F59A23A122CC4B5FAEDA979880BE5BA018"/>
    <w:rsid w:val="00441CBD"/>
  </w:style>
  <w:style w:type="paragraph" w:customStyle="1" w:styleId="A6FE8F20E48D412CAB9D9862572EC7D317">
    <w:name w:val="A6FE8F20E48D412CAB9D9862572EC7D317"/>
    <w:rsid w:val="00441CBD"/>
  </w:style>
  <w:style w:type="paragraph" w:customStyle="1" w:styleId="EF4EE6CA913F4578AB0E03B445A602545">
    <w:name w:val="EF4EE6CA913F4578AB0E03B445A602545"/>
    <w:rsid w:val="00441CBD"/>
  </w:style>
  <w:style w:type="paragraph" w:customStyle="1" w:styleId="441778CDCFB040C796E3170B4CBC6BD07">
    <w:name w:val="441778CDCFB040C796E3170B4CBC6BD07"/>
    <w:rsid w:val="00441CBD"/>
  </w:style>
  <w:style w:type="paragraph" w:customStyle="1" w:styleId="0CE50B01D0404DD9B38BAED0676285C810">
    <w:name w:val="0CE50B01D0404DD9B38BAED0676285C810"/>
    <w:rsid w:val="00441CBD"/>
    <w:pPr>
      <w:tabs>
        <w:tab w:val="center" w:pos="4513"/>
        <w:tab w:val="right" w:pos="9026"/>
      </w:tabs>
      <w:spacing w:after="0" w:line="240" w:lineRule="auto"/>
    </w:pPr>
  </w:style>
  <w:style w:type="paragraph" w:customStyle="1" w:styleId="B8DAD9981C7546E2B1C618FD55696EDF10">
    <w:name w:val="B8DAD9981C7546E2B1C618FD55696EDF10"/>
    <w:rsid w:val="00441CBD"/>
    <w:pPr>
      <w:tabs>
        <w:tab w:val="center" w:pos="4513"/>
        <w:tab w:val="right" w:pos="9026"/>
      </w:tabs>
      <w:spacing w:after="0" w:line="240" w:lineRule="auto"/>
    </w:pPr>
  </w:style>
  <w:style w:type="paragraph" w:customStyle="1" w:styleId="A02098E4415E49AAA88B8ECB31A07E1710">
    <w:name w:val="A02098E4415E49AAA88B8ECB31A07E1710"/>
    <w:rsid w:val="00441CBD"/>
    <w:pPr>
      <w:tabs>
        <w:tab w:val="center" w:pos="4513"/>
        <w:tab w:val="right" w:pos="9026"/>
      </w:tabs>
      <w:spacing w:after="0" w:line="240" w:lineRule="auto"/>
    </w:pPr>
  </w:style>
  <w:style w:type="paragraph" w:customStyle="1" w:styleId="B68645DDE8764F57B56A7B4B2E493586">
    <w:name w:val="B68645DDE8764F57B56A7B4B2E493586"/>
    <w:rsid w:val="00BD71E0"/>
    <w:rPr>
      <w:kern w:val="2"/>
      <w:lang w:eastAsia="en-GB"/>
      <w14:ligatures w14:val="standardContextual"/>
    </w:rPr>
  </w:style>
  <w:style w:type="paragraph" w:customStyle="1" w:styleId="C51E704741BD4ED78DEFE3D824636C62">
    <w:name w:val="C51E704741BD4ED78DEFE3D824636C62"/>
    <w:rsid w:val="00BD71E0"/>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Props1.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C3DE9B9A-41FB-4D56-AAE8-8F37AAE52965}">
  <ds:schemaRefs>
    <ds:schemaRef ds:uri="http://schemas.openxmlformats.org/officeDocument/2006/bibliography"/>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purl.org/dc/elements/1.1/"/>
    <ds:schemaRef ds:uri="http://purl.org/dc/dcmitype/"/>
    <ds:schemaRef ds:uri="http://schemas.microsoft.com/sharepoint/v4"/>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85c7e12-cd2e-474b-aebe-d6ef31f74e10"/>
    <ds:schemaRef ds:uri="d64291f4-87f7-4956-b876-984ac2769204"/>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pgr-gta-policy-v2-00-Sept-2025</dc:title>
  <dc:subject>
  </dc:subject>
  <dc:creator>Katie J Skilton</dc:creator>
  <cp:keywords>
  </cp:keywords>
  <dc:description>
  </dc:description>
  <cp:lastModifiedBy>lisa Tees</cp:lastModifiedBy>
  <cp:revision>56</cp:revision>
  <cp:lastPrinted>2018-01-15T16:18:00Z</cp:lastPrinted>
  <dcterms:created xsi:type="dcterms:W3CDTF">2023-06-09T14:28:00Z</dcterms:created>
  <dcterms:modified xsi:type="dcterms:W3CDTF">2025-09-10T12:48:05Z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