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7895" w:rsidR="00EE455C" w:rsidP="00EE455C" w:rsidRDefault="00EE455C" w14:paraId="556BED11" w14:textId="77777777">
      <w:pPr>
        <w:pStyle w:val="numberedmainbody"/>
        <w:numPr>
          <w:ilvl w:val="0"/>
          <w:numId w:val="0"/>
        </w:numPr>
        <w:rPr>
          <w:b/>
        </w:rPr>
      </w:pPr>
      <w:r w:rsidRPr="00737895">
        <w:rPr>
          <w:b/>
        </w:rPr>
        <w:t>DEFINITIONS</w:t>
      </w:r>
      <w:r>
        <w:rPr>
          <w:b/>
        </w:rPr>
        <w:t xml:space="preserve"> AND APPROVAL ROUTES</w:t>
      </w:r>
    </w:p>
    <w:p w:rsidRPr="00737895" w:rsidR="00EE455C" w:rsidP="00EE455C" w:rsidRDefault="00EE455C" w14:paraId="28727AF8" w14:textId="77777777">
      <w:pPr>
        <w:pStyle w:val="Heading1"/>
      </w:pPr>
      <w:bookmarkStart w:name="_Toc119669615" w:id="0"/>
      <w:r w:rsidRPr="00737895">
        <w:t>LEVEL 1 PARTNERSHIP ACTIVITIES</w:t>
      </w:r>
      <w:bookmarkEnd w:id="0"/>
    </w:p>
    <w:p w:rsidR="00EE455C" w:rsidP="00EE455C" w:rsidRDefault="00EE455C" w14:paraId="4AE4551C" w14:textId="77777777">
      <w:pPr>
        <w:pStyle w:val="numberedmainbody"/>
      </w:pPr>
      <w:r w:rsidRPr="00A85561">
        <w:rPr>
          <w:b/>
        </w:rPr>
        <w:t>Progression</w:t>
      </w:r>
      <w:r>
        <w:t xml:space="preserve"> is defined as:</w:t>
      </w:r>
    </w:p>
    <w:p w:rsidRPr="00FD5471" w:rsidR="00EE455C" w:rsidP="00EE455C" w:rsidRDefault="00EE455C" w14:paraId="34A1E4EB" w14:textId="77777777">
      <w:pPr>
        <w:pStyle w:val="numberedmainbody"/>
        <w:numPr>
          <w:ilvl w:val="0"/>
          <w:numId w:val="0"/>
        </w:numPr>
        <w:ind w:left="680"/>
        <w:rPr>
          <w:i/>
        </w:rPr>
      </w:pPr>
      <w:r w:rsidRPr="00FD5471">
        <w:rPr>
          <w:i/>
        </w:rPr>
        <w:t>Activity that allows students exemptions from specific modules or stages of a programme of study.</w:t>
      </w:r>
    </w:p>
    <w:p w:rsidR="00EE455C" w:rsidP="00EE455C" w:rsidRDefault="00EE455C" w14:paraId="41D7EBBB" w14:textId="77777777">
      <w:pPr>
        <w:pStyle w:val="numberedmainbody"/>
      </w:pPr>
      <w:r>
        <w:t>The essence of a Partnership Agreement for Progression is that it allows candidates from a partner institution to enter a University of Hull programme at a point later than the first year of the programme; it therefore involves a process of accrediting prior learning (specific modules or an entire stage) applying the same principles as to individual APL applications.</w:t>
      </w:r>
    </w:p>
    <w:p w:rsidR="00EE455C" w:rsidP="00EE455C" w:rsidRDefault="00EE455C" w14:paraId="137B2F0A" w14:textId="77777777">
      <w:pPr>
        <w:pStyle w:val="numberedmainbody"/>
      </w:pPr>
      <w:r>
        <w:t xml:space="preserve">A Partnership Agreement for Progression </w:t>
      </w:r>
      <w:r w:rsidRPr="00A85561">
        <w:rPr>
          <w:b/>
        </w:rPr>
        <w:t>should</w:t>
      </w:r>
      <w:r>
        <w:t xml:space="preserve"> be sought only where it is expected that no fewer than 20 students will be recruited over a five-year period. </w:t>
      </w:r>
    </w:p>
    <w:p w:rsidR="00EE455C" w:rsidP="00EE455C" w:rsidRDefault="00EE455C" w14:paraId="77C85EC2" w14:textId="77777777">
      <w:pPr>
        <w:pStyle w:val="numberedmainbody"/>
        <w:numPr>
          <w:ilvl w:val="0"/>
          <w:numId w:val="0"/>
        </w:numPr>
      </w:pPr>
      <w:r>
        <w:rPr>
          <w:noProof/>
        </w:rPr>
        <mc:AlternateContent>
          <mc:Choice Requires="wps">
            <w:drawing>
              <wp:inline distT="0" distB="0" distL="0" distR="0" wp14:anchorId="2C17BFCE" wp14:editId="2626075F">
                <wp:extent cx="6124575" cy="942975"/>
                <wp:effectExtent l="0" t="0" r="28575" b="28575"/>
                <wp:docPr id="9" name="Text Box 9"/>
                <wp:cNvGraphicFramePr/>
                <a:graphic xmlns:a="http://schemas.openxmlformats.org/drawingml/2006/main">
                  <a:graphicData uri="http://schemas.microsoft.com/office/word/2010/wordprocessingShape">
                    <wps:wsp>
                      <wps:cNvSpPr txBox="1"/>
                      <wps:spPr>
                        <a:xfrm>
                          <a:off x="0" y="0"/>
                          <a:ext cx="6124575" cy="942975"/>
                        </a:xfrm>
                        <a:prstGeom prst="rect">
                          <a:avLst/>
                        </a:prstGeom>
                        <a:solidFill>
                          <a:schemeClr val="lt1"/>
                        </a:solidFill>
                        <a:ln w="6350">
                          <a:solidFill>
                            <a:prstClr val="black"/>
                          </a:solidFill>
                        </a:ln>
                      </wps:spPr>
                      <wps:txbx>
                        <w:txbxContent>
                          <w:p w:rsidRPr="007358B1" w:rsidR="00EE455C" w:rsidP="00EE455C" w:rsidRDefault="00EE455C" w14:paraId="434BCC85" w14:textId="77777777">
                            <w:pPr>
                              <w:pStyle w:val="numberedmainbody"/>
                              <w:numPr>
                                <w:ilvl w:val="0"/>
                                <w:numId w:val="0"/>
                              </w:numPr>
                              <w:spacing w:before="0"/>
                              <w:rPr>
                                <w:i/>
                                <w:sz w:val="20"/>
                                <w:szCs w:val="20"/>
                              </w:rPr>
                            </w:pPr>
                            <w:r w:rsidRPr="007358B1">
                              <w:rPr>
                                <w:i/>
                                <w:sz w:val="20"/>
                                <w:szCs w:val="20"/>
                              </w:rPr>
                              <w:t>Explanatory note:</w:t>
                            </w:r>
                          </w:p>
                          <w:p w:rsidRPr="007358B1" w:rsidR="00EE455C" w:rsidP="00EE455C" w:rsidRDefault="00EE455C" w14:paraId="4DF1E248" w14:textId="77777777">
                            <w:pPr>
                              <w:pStyle w:val="ListParagraph"/>
                              <w:numPr>
                                <w:ilvl w:val="0"/>
                                <w:numId w:val="3"/>
                              </w:numPr>
                              <w:spacing w:after="0" w:line="240" w:lineRule="auto"/>
                              <w:ind w:left="284" w:hanging="284"/>
                              <w:contextualSpacing w:val="0"/>
                              <w:rPr>
                                <w:sz w:val="20"/>
                                <w:szCs w:val="20"/>
                              </w:rPr>
                            </w:pPr>
                            <w:r w:rsidRPr="007358B1">
                              <w:rPr>
                                <w:sz w:val="20"/>
                                <w:szCs w:val="20"/>
                              </w:rPr>
                              <w:t xml:space="preserve">Para </w:t>
                            </w:r>
                            <w:r w:rsidR="00A927EF">
                              <w:rPr>
                                <w:sz w:val="20"/>
                                <w:szCs w:val="20"/>
                              </w:rPr>
                              <w:t>1.3</w:t>
                            </w:r>
                            <w:r w:rsidRPr="007358B1">
                              <w:rPr>
                                <w:sz w:val="20"/>
                                <w:szCs w:val="20"/>
                              </w:rPr>
                              <w:t xml:space="preserve">: where less than the suggested number is likely to be recruited, applications from such students </w:t>
                            </w:r>
                            <w:r w:rsidRPr="007358B1">
                              <w:rPr>
                                <w:b/>
                                <w:sz w:val="20"/>
                                <w:szCs w:val="20"/>
                              </w:rPr>
                              <w:t>should</w:t>
                            </w:r>
                            <w:r w:rsidRPr="007358B1">
                              <w:rPr>
                                <w:sz w:val="20"/>
                                <w:szCs w:val="20"/>
                              </w:rPr>
                              <w:t xml:space="preserve"> be dealt with individually in the same way as other applications. The rationale is that below the suggested figure it will normally be more efficient to deal with individual applications than establish (and subsequently monitor and review) the MoA</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1A21E29E">
                <v:stroke joinstyle="miter"/>
                <v:path gradientshapeok="t" o:connecttype="rect"/>
              </v:shapetype>
              <v:shape id="Text Box 9" style="width:482.25pt;height:74.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">
                <v:textbox inset=",0,,0">
                  <w:txbxContent>
                    <w:p w:rsidRPr="007358B1" w:rsidR="00EE455C" w:rsidP="00EE455C" w:rsidRDefault="00EE455C">
                      <w:pPr>
                        <w:pStyle w:val="numberedmainbody"/>
                        <w:numPr>
                          <w:ilvl w:val="0"/>
                          <w:numId w:val="0"/>
                        </w:numPr>
                        <w:spacing w:before="0"/>
                        <w:rPr>
                          <w:i/>
                          <w:sz w:val="20"/>
                          <w:szCs w:val="20"/>
                        </w:rPr>
                      </w:pPr>
                      <w:r w:rsidRPr="007358B1">
                        <w:rPr>
                          <w:i/>
                          <w:sz w:val="20"/>
                          <w:szCs w:val="20"/>
                        </w:rPr>
                        <w:t>Explanatory note:</w:t>
                      </w:r>
                    </w:p>
                    <w:p w:rsidRPr="007358B1" w:rsidR="00EE455C" w:rsidP="00EE455C" w:rsidRDefault="00EE455C">
                      <w:pPr>
                        <w:pStyle w:val="ListParagraph"/>
                        <w:numPr>
                          <w:ilvl w:val="0"/>
                          <w:numId w:val="3"/>
                        </w:numPr>
                        <w:spacing w:after="0" w:line="240" w:lineRule="auto"/>
                        <w:ind w:left="284" w:hanging="284"/>
                        <w:contextualSpacing w:val="0"/>
                        <w:rPr>
                          <w:sz w:val="20"/>
                          <w:szCs w:val="20"/>
                        </w:rPr>
                      </w:pPr>
                      <w:r w:rsidRPr="007358B1">
                        <w:rPr>
                          <w:sz w:val="20"/>
                          <w:szCs w:val="20"/>
                        </w:rPr>
                        <w:t xml:space="preserve">Para </w:t>
                      </w:r>
                      <w:r w:rsidR="00A927EF">
                        <w:rPr>
                          <w:sz w:val="20"/>
                          <w:szCs w:val="20"/>
                        </w:rPr>
                        <w:t>1.3</w:t>
                      </w:r>
                      <w:r w:rsidRPr="007358B1">
                        <w:rPr>
                          <w:sz w:val="20"/>
                          <w:szCs w:val="20"/>
                        </w:rPr>
                        <w:t xml:space="preserve">: where less than the suggested number is likely to be recruited, applications from such students </w:t>
                      </w:r>
                      <w:r w:rsidRPr="007358B1">
                        <w:rPr>
                          <w:b/>
                          <w:sz w:val="20"/>
                          <w:szCs w:val="20"/>
                        </w:rPr>
                        <w:t>should</w:t>
                      </w:r>
                      <w:r w:rsidRPr="007358B1">
                        <w:rPr>
                          <w:sz w:val="20"/>
                          <w:szCs w:val="20"/>
                        </w:rPr>
                        <w:t xml:space="preserve"> be dealt with individually in the same way as other applications. The rationale is that below the suggested figure it will normally be more efficient to deal with individual applications than establish (and subsequently monitor and review) the </w:t>
                      </w:r>
                      <w:proofErr w:type="spellStart"/>
                      <w:r w:rsidRPr="007358B1">
                        <w:rPr>
                          <w:sz w:val="20"/>
                          <w:szCs w:val="20"/>
                        </w:rPr>
                        <w:t>MoA</w:t>
                      </w:r>
                      <w:proofErr w:type="spellEnd"/>
                    </w:p>
                  </w:txbxContent>
                </v:textbox>
                <w10:anchorlock/>
              </v:shape>
            </w:pict>
          </mc:Fallback>
        </mc:AlternateContent>
      </w:r>
    </w:p>
    <w:p w:rsidR="00EE455C" w:rsidP="00EE455C" w:rsidRDefault="00EE455C" w14:paraId="5CE8274B" w14:textId="77777777">
      <w:pPr>
        <w:pStyle w:val="numberedmainbody"/>
      </w:pPr>
      <w:r w:rsidRPr="00FD5471">
        <w:rPr>
          <w:b/>
        </w:rPr>
        <w:t>Incoming Study Abroad</w:t>
      </w:r>
      <w:r>
        <w:t xml:space="preserve"> (ISA) is defined as: </w:t>
      </w:r>
    </w:p>
    <w:p w:rsidRPr="00FD5471" w:rsidR="00EE455C" w:rsidP="00EE455C" w:rsidRDefault="00EE455C" w14:paraId="51385AF6" w14:textId="77777777">
      <w:pPr>
        <w:pStyle w:val="numberedmainbody"/>
        <w:numPr>
          <w:ilvl w:val="0"/>
          <w:numId w:val="0"/>
        </w:numPr>
        <w:ind w:left="680"/>
        <w:rPr>
          <w:i/>
        </w:rPr>
      </w:pPr>
      <w:r w:rsidRPr="00FD5471">
        <w:rPr>
          <w:i/>
        </w:rPr>
        <w:t>Allowing students of the partner institution to study at the University of Hull and earn credit towards their programme of study at the partner institution.</w:t>
      </w:r>
    </w:p>
    <w:p w:rsidR="00EE455C" w:rsidP="00EE455C" w:rsidRDefault="00EE455C" w14:paraId="7A066CBA" w14:textId="77777777">
      <w:pPr>
        <w:pStyle w:val="numberedmainbody"/>
      </w:pPr>
      <w:r>
        <w:t>The key difference between Progression and Incoming Study Abroad is that under Progression students complete a specified programme of study at the University of Hull and receive an award of the University of Hull. Under ISA students complete specified modules (which may or may not be part of a University of Hull programme of study) but thereafter return to the partner institution to complete their studies and receive an award from that institution (only).</w:t>
      </w:r>
    </w:p>
    <w:p w:rsidR="00A927EF" w:rsidP="00A927EF" w:rsidRDefault="00EE455C" w14:paraId="638601D8" w14:textId="77777777">
      <w:pPr>
        <w:pStyle w:val="numberedmainbody"/>
      </w:pPr>
      <w:r>
        <w:t>For the purposes of approval, Progression and ISA are treated as Schedules of the same Partnership Agreement.</w:t>
      </w:r>
    </w:p>
    <w:p w:rsidRPr="00A927EF" w:rsidR="00A927EF" w:rsidP="00A927EF" w:rsidRDefault="00EE455C" w14:paraId="2701B96D" w14:textId="77777777">
      <w:pPr>
        <w:pStyle w:val="numberedmainbody"/>
        <w:numPr>
          <w:ilvl w:val="0"/>
          <w:numId w:val="0"/>
        </w:numPr>
        <w:ind w:left="680"/>
        <w:rPr>
          <w:u w:val="single"/>
        </w:rPr>
      </w:pPr>
      <w:r w:rsidRPr="00A927EF">
        <w:rPr>
          <w:b/>
          <w:u w:val="single"/>
        </w:rPr>
        <w:t>Approval</w:t>
      </w:r>
      <w:r w:rsidRPr="00A927EF" w:rsidR="00A927EF">
        <w:rPr>
          <w:b/>
          <w:u w:val="single"/>
        </w:rPr>
        <w:t xml:space="preserve"> Process </w:t>
      </w:r>
    </w:p>
    <w:p w:rsidR="00EE455C" w:rsidP="00A927EF" w:rsidRDefault="00A927EF" w14:paraId="08334B0A" w14:textId="7094A274">
      <w:pPr>
        <w:pStyle w:val="numberedmainbody"/>
      </w:pPr>
      <w:r>
        <w:t>The a</w:t>
      </w:r>
      <w:r w:rsidR="00EE455C">
        <w:t xml:space="preserve">pproval </w:t>
      </w:r>
      <w:r>
        <w:t>of new P</w:t>
      </w:r>
      <w:r w:rsidR="00EE455C">
        <w:t xml:space="preserve">rogression </w:t>
      </w:r>
      <w:r>
        <w:t>and Incoming Study Abroad activities is determined by Global Engagement</w:t>
      </w:r>
      <w:r w:rsidR="00793292">
        <w:t xml:space="preserve"> (GE)</w:t>
      </w:r>
      <w:r>
        <w:t>.</w:t>
      </w:r>
    </w:p>
    <w:p w:rsidRPr="00737895" w:rsidR="00EE455C" w:rsidP="00EE455C" w:rsidRDefault="00EE455C" w14:paraId="32D27A34" w14:textId="77777777">
      <w:pPr>
        <w:pStyle w:val="Heading1"/>
      </w:pPr>
      <w:bookmarkStart w:name="_Toc119669616" w:id="1"/>
      <w:r w:rsidRPr="00737895">
        <w:t>LEVEL 2 PARTNERSHIP ACTIVITIES</w:t>
      </w:r>
      <w:bookmarkEnd w:id="1"/>
    </w:p>
    <w:p w:rsidR="00EE455C" w:rsidP="00EE455C" w:rsidRDefault="00EE455C" w14:paraId="4FA6DFE0" w14:textId="77777777">
      <w:pPr>
        <w:pStyle w:val="numberedmainbody"/>
      </w:pPr>
      <w:r w:rsidRPr="00A85561">
        <w:rPr>
          <w:b/>
        </w:rPr>
        <w:t>Exchange</w:t>
      </w:r>
      <w:r>
        <w:t xml:space="preserve"> is defined as:</w:t>
      </w:r>
    </w:p>
    <w:p w:rsidRPr="00FD5471" w:rsidR="00EE455C" w:rsidP="00EE455C" w:rsidRDefault="00EE455C" w14:paraId="4FE77D0D" w14:textId="77777777">
      <w:pPr>
        <w:pStyle w:val="numberedmainbody"/>
        <w:numPr>
          <w:ilvl w:val="0"/>
          <w:numId w:val="0"/>
        </w:numPr>
        <w:ind w:left="680"/>
        <w:rPr>
          <w:i/>
        </w:rPr>
      </w:pPr>
      <w:r w:rsidRPr="00FD5471">
        <w:rPr>
          <w:i/>
        </w:rPr>
        <w:t>A reciprocal arrangement between the University and a partner institution that allows University of Hull students to study at the partner institution for an agreed period leading to the award of credit as part of each student’s University of Hull programme of study, and for students of the partner institution to study at the University of Hull and receive University of Hull credits for that period of study.</w:t>
      </w:r>
    </w:p>
    <w:p w:rsidR="00A927EF" w:rsidP="00EE455C" w:rsidRDefault="00EE455C" w14:paraId="7EB52C0B" w14:textId="77777777">
      <w:pPr>
        <w:pStyle w:val="numberedmainbody"/>
      </w:pPr>
      <w:r>
        <w:t>The essence of a Partnership Agreement for Exchange is that it allows students to move in both directions receiving credit for the period spent at the other institution, such credit counting towards their programme at their home institution leading to the award of the home institution (only).</w:t>
      </w:r>
    </w:p>
    <w:p w:rsidR="00A927EF" w:rsidRDefault="00A927EF" w14:paraId="0767976A" w14:textId="77777777">
      <w:pPr>
        <w:rPr>
          <w:rFonts w:ascii="Calibri" w:hAnsi="Calibri" w:eastAsia="Arial" w:cs="Arial"/>
          <w:bCs/>
          <w:szCs w:val="24"/>
          <w:lang w:val="en-US"/>
        </w:rPr>
      </w:pPr>
      <w:r>
        <w:br w:type="page"/>
      </w:r>
    </w:p>
    <w:p w:rsidR="00EE455C" w:rsidP="00EE455C" w:rsidRDefault="00EE455C" w14:paraId="2C2862E6" w14:textId="77777777">
      <w:pPr>
        <w:pStyle w:val="numberedmainbody"/>
      </w:pPr>
      <w:r w:rsidRPr="00FD5471">
        <w:rPr>
          <w:b/>
        </w:rPr>
        <w:lastRenderedPageBreak/>
        <w:t>Outgoing Study Abroad</w:t>
      </w:r>
      <w:r>
        <w:t xml:space="preserve"> (OSA) is defined as:</w:t>
      </w:r>
    </w:p>
    <w:p w:rsidRPr="00A85561" w:rsidR="00EE455C" w:rsidP="00EE455C" w:rsidRDefault="00EE455C" w14:paraId="2466DD89" w14:textId="77777777">
      <w:pPr>
        <w:pStyle w:val="numberedmainbody"/>
        <w:numPr>
          <w:ilvl w:val="0"/>
          <w:numId w:val="0"/>
        </w:numPr>
        <w:ind w:left="680"/>
        <w:rPr>
          <w:i/>
        </w:rPr>
      </w:pPr>
      <w:r w:rsidRPr="00A85561">
        <w:rPr>
          <w:i/>
        </w:rPr>
        <w:t>Allowing students of the University of Hull to study at a partner institution and earn credit towards their programme of study at the University of Hull.</w:t>
      </w:r>
    </w:p>
    <w:p w:rsidR="00EE455C" w:rsidP="00EE455C" w:rsidRDefault="00EE455C" w14:paraId="194D8B4B" w14:textId="77777777">
      <w:pPr>
        <w:pStyle w:val="numberedmainbody"/>
      </w:pPr>
      <w:r>
        <w:t>The key difference between Exchange and Outgoing Study Abroad is that Exchange is reciprocal – students move in both directions – whereas OSA only involves University students spending a period at the partner institution.</w:t>
      </w:r>
    </w:p>
    <w:p w:rsidR="00A927EF" w:rsidP="00A927EF" w:rsidRDefault="00EE455C" w14:paraId="4EE56A67" w14:textId="77777777">
      <w:pPr>
        <w:pStyle w:val="numberedmainbody"/>
        <w:rPr>
          <w:color w:val="000000" w:themeColor="text1"/>
        </w:rPr>
      </w:pPr>
      <w:r>
        <w:t>For the purposes of approval, Exchange and OSA are treated as Schedules of the same Partnership</w:t>
      </w:r>
      <w:r w:rsidRPr="006F082F">
        <w:t xml:space="preserve"> Agreement</w:t>
      </w:r>
      <w:r>
        <w:t>.</w:t>
      </w:r>
    </w:p>
    <w:p w:rsidRPr="00A927EF" w:rsidR="00A927EF" w:rsidP="00A927EF" w:rsidRDefault="00EE455C" w14:paraId="522FC70F" w14:textId="77777777">
      <w:pPr>
        <w:pStyle w:val="numberedmainbody"/>
        <w:numPr>
          <w:ilvl w:val="0"/>
          <w:numId w:val="0"/>
        </w:numPr>
        <w:ind w:left="680"/>
        <w:rPr>
          <w:color w:val="000000" w:themeColor="text1"/>
          <w:u w:val="single"/>
        </w:rPr>
      </w:pPr>
      <w:r w:rsidRPr="00A927EF">
        <w:rPr>
          <w:b/>
          <w:color w:val="000000" w:themeColor="text1"/>
          <w:u w:val="single"/>
        </w:rPr>
        <w:t>Approval</w:t>
      </w:r>
      <w:r w:rsidRPr="00A927EF" w:rsidR="00A927EF">
        <w:rPr>
          <w:color w:val="000000" w:themeColor="text1"/>
          <w:u w:val="single"/>
        </w:rPr>
        <w:t xml:space="preserve"> </w:t>
      </w:r>
      <w:r w:rsidRPr="00A927EF" w:rsidR="00A927EF">
        <w:rPr>
          <w:b/>
          <w:color w:val="000000" w:themeColor="text1"/>
          <w:u w:val="single"/>
        </w:rPr>
        <w:t>Process</w:t>
      </w:r>
    </w:p>
    <w:p w:rsidRPr="00A927EF" w:rsidR="00A927EF" w:rsidP="00A927EF" w:rsidRDefault="00A927EF" w14:paraId="0DF47BE5" w14:textId="77777777">
      <w:pPr>
        <w:pStyle w:val="numberedmainbody"/>
        <w:rPr>
          <w:color w:val="000000" w:themeColor="text1"/>
        </w:rPr>
      </w:pPr>
      <w:r w:rsidRPr="00A927EF">
        <w:t>The approval of new Exchange and Outgoing Study Abroad activities is determined by Global Engagement.</w:t>
      </w:r>
    </w:p>
    <w:p w:rsidRPr="00617924" w:rsidR="00EE455C" w:rsidP="00EE455C" w:rsidRDefault="00EE455C" w14:paraId="7741B3D0" w14:textId="77777777">
      <w:pPr>
        <w:pStyle w:val="numberedmainbody"/>
        <w:numPr>
          <w:ilvl w:val="0"/>
          <w:numId w:val="0"/>
        </w:numPr>
        <w:rPr>
          <w:color w:val="000000" w:themeColor="text1"/>
        </w:rPr>
      </w:pPr>
      <w:r>
        <w:rPr>
          <w:noProof/>
        </w:rPr>
        <mc:AlternateContent>
          <mc:Choice Requires="wps">
            <w:drawing>
              <wp:inline distT="0" distB="0" distL="0" distR="0" wp14:anchorId="1BF59092" wp14:editId="36B7E856">
                <wp:extent cx="6010275" cy="1076325"/>
                <wp:effectExtent l="0" t="0" r="28575" b="28575"/>
                <wp:docPr id="7" name="Text Box 7"/>
                <wp:cNvGraphicFramePr/>
                <a:graphic xmlns:a="http://schemas.openxmlformats.org/drawingml/2006/main">
                  <a:graphicData uri="http://schemas.microsoft.com/office/word/2010/wordprocessingShape">
                    <wps:wsp>
                      <wps:cNvSpPr txBox="1"/>
                      <wps:spPr>
                        <a:xfrm>
                          <a:off x="0" y="0"/>
                          <a:ext cx="6010275" cy="1076325"/>
                        </a:xfrm>
                        <a:prstGeom prst="rect">
                          <a:avLst/>
                        </a:prstGeom>
                        <a:solidFill>
                          <a:schemeClr val="lt1"/>
                        </a:solidFill>
                        <a:ln w="6350">
                          <a:solidFill>
                            <a:prstClr val="black"/>
                          </a:solidFill>
                        </a:ln>
                      </wps:spPr>
                      <wps:txbx>
                        <w:txbxContent>
                          <w:p w:rsidRPr="007358B1" w:rsidR="00EE455C" w:rsidP="00EE455C" w:rsidRDefault="00EE455C" w14:paraId="5B29E103" w14:textId="77777777">
                            <w:pPr>
                              <w:spacing w:after="120" w:line="240" w:lineRule="auto"/>
                              <w:rPr>
                                <w:i/>
                                <w:sz w:val="20"/>
                                <w:szCs w:val="20"/>
                              </w:rPr>
                            </w:pPr>
                            <w:r w:rsidRPr="007358B1">
                              <w:rPr>
                                <w:i/>
                                <w:sz w:val="20"/>
                                <w:szCs w:val="20"/>
                              </w:rPr>
                              <w:t>Explanatory note:</w:t>
                            </w:r>
                          </w:p>
                          <w:p w:rsidRPr="007358B1" w:rsidR="00EE455C" w:rsidP="00EE455C" w:rsidRDefault="00EE455C" w14:paraId="70AA1B4F" w14:textId="77777777">
                            <w:pPr>
                              <w:pStyle w:val="ListParagraph"/>
                              <w:numPr>
                                <w:ilvl w:val="0"/>
                                <w:numId w:val="2"/>
                              </w:numPr>
                              <w:spacing w:after="0" w:line="240" w:lineRule="auto"/>
                              <w:ind w:left="284" w:hanging="284"/>
                              <w:contextualSpacing w:val="0"/>
                              <w:rPr>
                                <w:sz w:val="20"/>
                                <w:szCs w:val="20"/>
                              </w:rPr>
                            </w:pPr>
                            <w:r w:rsidRPr="007358B1">
                              <w:rPr>
                                <w:sz w:val="20"/>
                                <w:szCs w:val="20"/>
                              </w:rPr>
                              <w:t xml:space="preserve">No fees are applicable in the case of Exchange </w:t>
                            </w:r>
                          </w:p>
                          <w:p w:rsidRPr="007358B1" w:rsidR="00EE455C" w:rsidP="00EE455C" w:rsidRDefault="00EE455C" w14:paraId="48E6A321" w14:textId="77777777">
                            <w:pPr>
                              <w:pStyle w:val="ListParagraph"/>
                              <w:numPr>
                                <w:ilvl w:val="0"/>
                                <w:numId w:val="2"/>
                              </w:numPr>
                              <w:spacing w:after="0" w:line="240" w:lineRule="auto"/>
                              <w:ind w:left="284" w:hanging="284"/>
                              <w:contextualSpacing w:val="0"/>
                              <w:rPr>
                                <w:sz w:val="20"/>
                                <w:szCs w:val="20"/>
                              </w:rPr>
                            </w:pPr>
                            <w:r w:rsidRPr="007358B1">
                              <w:rPr>
                                <w:sz w:val="20"/>
                                <w:szCs w:val="20"/>
                              </w:rPr>
                              <w:t xml:space="preserve">For </w:t>
                            </w:r>
                            <w:r w:rsidRPr="007358B1" w:rsidR="00A927EF">
                              <w:rPr>
                                <w:sz w:val="20"/>
                                <w:szCs w:val="20"/>
                              </w:rPr>
                              <w:t>Incoming Study Abroad</w:t>
                            </w:r>
                            <w:r w:rsidR="00A927EF">
                              <w:rPr>
                                <w:sz w:val="20"/>
                                <w:szCs w:val="20"/>
                              </w:rPr>
                              <w:t>,</w:t>
                            </w:r>
                            <w:r w:rsidRPr="007358B1">
                              <w:rPr>
                                <w:sz w:val="20"/>
                                <w:szCs w:val="20"/>
                              </w:rPr>
                              <w:t xml:space="preserve"> fees will be applicable</w:t>
                            </w:r>
                          </w:p>
                          <w:p w:rsidRPr="007358B1" w:rsidR="00EE455C" w:rsidP="00EE455C" w:rsidRDefault="00EE455C" w14:paraId="530D0586" w14:textId="77777777">
                            <w:pPr>
                              <w:pStyle w:val="ListParagraph"/>
                              <w:numPr>
                                <w:ilvl w:val="0"/>
                                <w:numId w:val="2"/>
                              </w:numPr>
                              <w:spacing w:after="0" w:line="240" w:lineRule="auto"/>
                              <w:ind w:left="284" w:hanging="284"/>
                              <w:contextualSpacing w:val="0"/>
                              <w:rPr>
                                <w:sz w:val="20"/>
                                <w:szCs w:val="20"/>
                              </w:rPr>
                            </w:pPr>
                            <w:r w:rsidRPr="007358B1">
                              <w:rPr>
                                <w:sz w:val="20"/>
                                <w:szCs w:val="20"/>
                              </w:rPr>
                              <w:t>The nature of Exchange and</w:t>
                            </w:r>
                            <w:r w:rsidR="00A927EF">
                              <w:rPr>
                                <w:sz w:val="20"/>
                                <w:szCs w:val="20"/>
                              </w:rPr>
                              <w:t xml:space="preserve"> Outgoing</w:t>
                            </w:r>
                            <w:r w:rsidRPr="007358B1">
                              <w:rPr>
                                <w:sz w:val="20"/>
                                <w:szCs w:val="20"/>
                              </w:rPr>
                              <w:t xml:space="preserve"> Study Abroad means that an agreement is needed in all cases (irrespective of the number of students) because of the need for recognition of credits earned during the period of study at the institution which is not the student’s home institution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7" style="width:473.25pt;height:84.7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" w14:anchorId="04B4EE11">
                <v:textbox inset=",0,,0">
                  <w:txbxContent>
                    <w:p w:rsidRPr="007358B1" w:rsidR="00EE455C" w:rsidP="00EE455C" w:rsidRDefault="00EE455C">
                      <w:pPr>
                        <w:spacing w:after="120" w:line="240" w:lineRule="auto"/>
                        <w:rPr>
                          <w:i/>
                          <w:sz w:val="20"/>
                          <w:szCs w:val="20"/>
                        </w:rPr>
                      </w:pPr>
                      <w:r w:rsidRPr="007358B1">
                        <w:rPr>
                          <w:i/>
                          <w:sz w:val="20"/>
                          <w:szCs w:val="20"/>
                        </w:rPr>
                        <w:t>Explanatory note:</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 xml:space="preserve">No fees are applicable in the case of Exchange </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 xml:space="preserve">For </w:t>
                      </w:r>
                      <w:r w:rsidRPr="007358B1" w:rsidR="00A927EF">
                        <w:rPr>
                          <w:sz w:val="20"/>
                          <w:szCs w:val="20"/>
                        </w:rPr>
                        <w:t>Incoming Study Abroad</w:t>
                      </w:r>
                      <w:r w:rsidR="00A927EF">
                        <w:rPr>
                          <w:sz w:val="20"/>
                          <w:szCs w:val="20"/>
                        </w:rPr>
                        <w:t>,</w:t>
                      </w:r>
                      <w:r w:rsidRPr="007358B1">
                        <w:rPr>
                          <w:sz w:val="20"/>
                          <w:szCs w:val="20"/>
                        </w:rPr>
                        <w:t xml:space="preserve"> fees will be applicable</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The nature of Exchange and</w:t>
                      </w:r>
                      <w:r w:rsidR="00A927EF">
                        <w:rPr>
                          <w:sz w:val="20"/>
                          <w:szCs w:val="20"/>
                        </w:rPr>
                        <w:t xml:space="preserve"> Outgoing</w:t>
                      </w:r>
                      <w:r w:rsidRPr="007358B1">
                        <w:rPr>
                          <w:sz w:val="20"/>
                          <w:szCs w:val="20"/>
                        </w:rPr>
                        <w:t xml:space="preserve"> Study Abroad means that an agreement is needed in all cases (irrespective of the number of students) because of the need for recognition of credits earned during the period of study at the institution which is not the student’s home institution</w:t>
                      </w:r>
                    </w:p>
                  </w:txbxContent>
                </v:textbox>
                <w10:anchorlock/>
              </v:shape>
            </w:pict>
          </mc:Fallback>
        </mc:AlternateContent>
      </w:r>
    </w:p>
    <w:p w:rsidR="00EE455C" w:rsidP="00EE455C" w:rsidRDefault="00EE455C" w14:paraId="2E9C3889" w14:textId="77777777">
      <w:pPr>
        <w:pStyle w:val="Heading1"/>
      </w:pPr>
      <w:bookmarkStart w:name="_Toc119669617" w:id="2"/>
      <w:r>
        <w:t>LEVEL 3 PARTNERSHIP ACITIVITES</w:t>
      </w:r>
      <w:bookmarkEnd w:id="2"/>
    </w:p>
    <w:p w:rsidRPr="00737895" w:rsidR="00EE455C" w:rsidP="00EE455C" w:rsidRDefault="00EE455C" w14:paraId="3A31B0EB" w14:textId="77777777">
      <w:pPr>
        <w:pStyle w:val="numberedmainbody"/>
        <w:numPr>
          <w:ilvl w:val="0"/>
          <w:numId w:val="0"/>
        </w:numPr>
        <w:ind w:left="680"/>
        <w:rPr>
          <w:b/>
        </w:rPr>
      </w:pPr>
      <w:r w:rsidRPr="00737895">
        <w:rPr>
          <w:b/>
        </w:rPr>
        <w:t>Programmes and Modules</w:t>
      </w:r>
    </w:p>
    <w:p w:rsidR="00EE455C" w:rsidP="00EE455C" w:rsidRDefault="00EE455C" w14:paraId="1F5CF659" w14:textId="77777777">
      <w:pPr>
        <w:pStyle w:val="numberedmainbody"/>
      </w:pPr>
      <w:r w:rsidRPr="00737895">
        <w:rPr>
          <w:b/>
        </w:rPr>
        <w:t>Validation</w:t>
      </w:r>
      <w:r>
        <w:t xml:space="preserve"> is defined as:</w:t>
      </w:r>
    </w:p>
    <w:p w:rsidRPr="00737895" w:rsidR="00EE455C" w:rsidP="00EE455C" w:rsidRDefault="00EE455C" w14:paraId="4C63790A" w14:textId="77777777">
      <w:pPr>
        <w:pStyle w:val="numberedmainbody"/>
        <w:numPr>
          <w:ilvl w:val="0"/>
          <w:numId w:val="0"/>
        </w:numPr>
        <w:ind w:left="680"/>
        <w:rPr>
          <w:i/>
        </w:rPr>
      </w:pPr>
      <w:r w:rsidRPr="00737895">
        <w:rPr>
          <w:i/>
        </w:rPr>
        <w:t xml:space="preserve">An arrangement where the partner designs, develops and delivers programmes that are approved by the University of Hull and where students, on successful completion, are eligible to receive a University of Hull award and/or credit. </w:t>
      </w:r>
    </w:p>
    <w:p w:rsidR="00EE455C" w:rsidP="00EE455C" w:rsidRDefault="00EE455C" w14:paraId="1F276421" w14:textId="77777777">
      <w:pPr>
        <w:pStyle w:val="numberedmainbody"/>
      </w:pPr>
      <w:r w:rsidRPr="00737895">
        <w:rPr>
          <w:b/>
        </w:rPr>
        <w:t>Franchising</w:t>
      </w:r>
      <w:r>
        <w:t xml:space="preserve"> is defined as:</w:t>
      </w:r>
    </w:p>
    <w:p w:rsidRPr="00737895" w:rsidR="00EE455C" w:rsidP="00EE455C" w:rsidRDefault="00EE455C" w14:paraId="45390441" w14:textId="77777777">
      <w:pPr>
        <w:pStyle w:val="numberedmainbody"/>
        <w:numPr>
          <w:ilvl w:val="0"/>
          <w:numId w:val="0"/>
        </w:numPr>
        <w:ind w:left="680"/>
        <w:rPr>
          <w:i/>
        </w:rPr>
      </w:pPr>
      <w:r w:rsidRPr="00737895">
        <w:rPr>
          <w:i/>
        </w:rPr>
        <w:t>An arrangement where the University of Hull designs, develops and approves programmes for delivery by the partner and where students, on successful completion, are eligible to receive a University of Hull award and/or credit.</w:t>
      </w:r>
    </w:p>
    <w:p w:rsidR="00EE455C" w:rsidP="00EE455C" w:rsidRDefault="00EE455C" w14:paraId="37650948" w14:textId="77777777">
      <w:pPr>
        <w:pStyle w:val="numberedmainbody"/>
      </w:pPr>
      <w:r>
        <w:t xml:space="preserve">For the purposes of approval, Validated and Franchised programmes are treated as Schedules of the same Partnership Agreement. </w:t>
      </w:r>
    </w:p>
    <w:p w:rsidR="00EE455C" w:rsidP="00EE455C" w:rsidRDefault="00EE455C" w14:paraId="3A21D690" w14:textId="77777777">
      <w:pPr>
        <w:pStyle w:val="numberedmainbody"/>
      </w:pPr>
      <w:r>
        <w:t>The key difference between a validated programme and a franchised programme is that one is designed, developed and delivered by the partner (validation) and the other is designed and developed by the University and delivered by the partner (franchise).</w:t>
      </w:r>
    </w:p>
    <w:p w:rsidRPr="00A927EF" w:rsidR="00EE455C" w:rsidP="00EE455C" w:rsidRDefault="00EE455C" w14:paraId="3F313020" w14:textId="77777777">
      <w:pPr>
        <w:pStyle w:val="numberedmainbody"/>
        <w:numPr>
          <w:ilvl w:val="0"/>
          <w:numId w:val="0"/>
        </w:numPr>
        <w:ind w:left="709"/>
        <w:rPr>
          <w:b/>
          <w:u w:val="single"/>
        </w:rPr>
      </w:pPr>
      <w:r w:rsidRPr="00A927EF">
        <w:rPr>
          <w:b/>
          <w:u w:val="single"/>
        </w:rPr>
        <w:t>Approval</w:t>
      </w:r>
      <w:r w:rsidRPr="00A927EF" w:rsidR="00A927EF">
        <w:rPr>
          <w:b/>
          <w:u w:val="single"/>
        </w:rPr>
        <w:t xml:space="preserve"> Process </w:t>
      </w:r>
    </w:p>
    <w:p w:rsidRPr="00D74261" w:rsidR="00EE455C" w:rsidP="004904BB" w:rsidRDefault="00E30954" w14:paraId="5D0FFEFC" w14:textId="77777777">
      <w:pPr>
        <w:pStyle w:val="numberedmainbody"/>
      </w:pPr>
      <w:r>
        <w:t>New collaborative provision programmes are approved according to the Code of Practice: New Programmes.</w:t>
      </w:r>
    </w:p>
    <w:p w:rsidRPr="00D74261" w:rsidR="00EE455C" w:rsidP="00EE455C" w:rsidRDefault="00EE455C" w14:paraId="49B5EEB3" w14:textId="77777777">
      <w:pPr>
        <w:pStyle w:val="Heading1"/>
      </w:pPr>
      <w:bookmarkStart w:name="_Toc119669618" w:id="3"/>
      <w:r w:rsidRPr="0092313E">
        <w:t>LEVEL</w:t>
      </w:r>
      <w:r>
        <w:t xml:space="preserve"> </w:t>
      </w:r>
      <w:r w:rsidRPr="0092313E">
        <w:t>4 PARTNERSHIP ACTIVITES</w:t>
      </w:r>
      <w:bookmarkEnd w:id="3"/>
    </w:p>
    <w:p w:rsidR="00EE455C" w:rsidP="00EE455C" w:rsidRDefault="00EE455C" w14:paraId="63932B1B" w14:textId="77777777">
      <w:pPr>
        <w:pStyle w:val="numberedmainbody"/>
      </w:pPr>
      <w:r>
        <w:t xml:space="preserve">A </w:t>
      </w:r>
      <w:r w:rsidRPr="00737895">
        <w:rPr>
          <w:b/>
        </w:rPr>
        <w:t>Dual Award</w:t>
      </w:r>
      <w:r>
        <w:t xml:space="preserve"> is defined as:</w:t>
      </w:r>
    </w:p>
    <w:p w:rsidRPr="00737895" w:rsidR="00EE455C" w:rsidP="00EE455C" w:rsidRDefault="00EE455C" w14:paraId="1FE9A219" w14:textId="77777777">
      <w:pPr>
        <w:pStyle w:val="numberedmainbody"/>
        <w:numPr>
          <w:ilvl w:val="0"/>
          <w:numId w:val="0"/>
        </w:numPr>
        <w:ind w:left="680"/>
        <w:rPr>
          <w:i/>
        </w:rPr>
      </w:pPr>
      <w:r w:rsidRPr="00737895">
        <w:rPr>
          <w:i/>
        </w:rPr>
        <w:t>A single programme of study that leads to two awards of the same level, one awarded by the University, the other by the partner institution, represented by separate Certificates and Official Transcripts, each referring to the other, and both awarded at the end of the full period of study concerned.</w:t>
      </w:r>
    </w:p>
    <w:p w:rsidR="00EE455C" w:rsidP="00EE455C" w:rsidRDefault="00EE455C" w14:paraId="60FC5326" w14:textId="77777777">
      <w:pPr>
        <w:pStyle w:val="numberedmainbody"/>
      </w:pPr>
      <w:r>
        <w:lastRenderedPageBreak/>
        <w:t xml:space="preserve">A </w:t>
      </w:r>
      <w:r w:rsidRPr="00737895">
        <w:rPr>
          <w:b/>
        </w:rPr>
        <w:t>Joint Award</w:t>
      </w:r>
      <w:r>
        <w:t xml:space="preserve"> is defined as:</w:t>
      </w:r>
    </w:p>
    <w:p w:rsidR="00EE455C" w:rsidP="00EE455C" w:rsidRDefault="00EE455C" w14:paraId="4B0ED03D" w14:textId="77777777">
      <w:pPr>
        <w:pStyle w:val="numberedmainbody"/>
        <w:numPr>
          <w:ilvl w:val="0"/>
          <w:numId w:val="0"/>
        </w:numPr>
        <w:ind w:left="680"/>
        <w:rPr>
          <w:i/>
        </w:rPr>
      </w:pPr>
      <w:r w:rsidRPr="00737895">
        <w:rPr>
          <w:i/>
        </w:rPr>
        <w:t>A single programme of study that leads to a single award of the University of Hull together with the partner institution represented through a single Certificate and Official Transcript. The programme of study is governed by a single regulatory and quality framework established and approved by both institutions.</w:t>
      </w:r>
    </w:p>
    <w:p w:rsidR="00E30954" w:rsidP="00EE455C" w:rsidRDefault="00E30954" w14:paraId="1257A288" w14:textId="77777777">
      <w:pPr>
        <w:pStyle w:val="numberedmainbody"/>
        <w:numPr>
          <w:ilvl w:val="0"/>
          <w:numId w:val="0"/>
        </w:numPr>
        <w:ind w:left="680"/>
        <w:rPr>
          <w:b/>
        </w:rPr>
      </w:pPr>
      <w:r w:rsidRPr="00E30954">
        <w:rPr>
          <w:b/>
        </w:rPr>
        <w:t>Approval</w:t>
      </w:r>
      <w:r w:rsidR="00A927EF">
        <w:rPr>
          <w:b/>
        </w:rPr>
        <w:t xml:space="preserve"> Process </w:t>
      </w:r>
    </w:p>
    <w:p w:rsidRPr="00E30954" w:rsidR="00E30954" w:rsidP="00E30954" w:rsidRDefault="00E30954" w14:paraId="4703043D" w14:textId="77777777">
      <w:pPr>
        <w:pStyle w:val="numberedmainbody"/>
      </w:pPr>
      <w:r>
        <w:t>New collaborative provision programmes are approved according to the to the Code of Practice: New Programmes.</w:t>
      </w:r>
    </w:p>
    <w:bookmarkStart w:name="_Toc119596594" w:id="4"/>
    <w:bookmarkStart w:name="_Toc119596716" w:id="5"/>
    <w:p w:rsidRPr="00F62242" w:rsidR="00EE455C" w:rsidP="00EE455C" w:rsidRDefault="00EE455C" w14:paraId="59C660EA" w14:textId="77777777">
      <w:pPr>
        <w:pStyle w:val="numberedmainbody"/>
        <w:numPr>
          <w:ilvl w:val="0"/>
          <w:numId w:val="0"/>
        </w:numPr>
        <w:rPr>
          <w:i/>
        </w:rPr>
      </w:pPr>
      <w:r>
        <w:rPr>
          <w:i/>
          <w:noProof/>
        </w:rPr>
        <mc:AlternateContent>
          <mc:Choice Requires="wps">
            <w:drawing>
              <wp:inline distT="0" distB="0" distL="0" distR="0" wp14:anchorId="48590707" wp14:editId="1A6F84F1">
                <wp:extent cx="5943600" cy="13716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43600" cy="1371600"/>
                        </a:xfrm>
                        <a:prstGeom prst="rect">
                          <a:avLst/>
                        </a:prstGeom>
                        <a:solidFill>
                          <a:schemeClr val="lt1"/>
                        </a:solidFill>
                        <a:ln w="6350">
                          <a:solidFill>
                            <a:prstClr val="black"/>
                          </a:solidFill>
                        </a:ln>
                      </wps:spPr>
                      <wps:txbx>
                        <w:txbxContent>
                          <w:p w:rsidRPr="007358B1" w:rsidR="00EE455C" w:rsidP="00EE455C" w:rsidRDefault="00EE455C" w14:paraId="68352D64" w14:textId="77777777">
                            <w:pPr>
                              <w:spacing w:after="120" w:line="240" w:lineRule="auto"/>
                              <w:rPr>
                                <w:i/>
                                <w:sz w:val="20"/>
                                <w:szCs w:val="20"/>
                              </w:rPr>
                            </w:pPr>
                            <w:r w:rsidRPr="007358B1">
                              <w:rPr>
                                <w:i/>
                                <w:sz w:val="20"/>
                                <w:szCs w:val="20"/>
                              </w:rPr>
                              <w:t>Explanatory note:</w:t>
                            </w:r>
                          </w:p>
                          <w:p w:rsidRPr="007358B1" w:rsidR="00EE455C" w:rsidP="00EE455C" w:rsidRDefault="00EE455C" w14:paraId="5B1B310A"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essence of the Joint Award is that it is a single award given by the two institutions working together in accordance with a single regulatory and quality framework designed explicitly by the two institutions for the purpose of the award</w:t>
                            </w:r>
                          </w:p>
                          <w:p w:rsidRPr="007358B1" w:rsidR="00EE455C" w:rsidP="00EE455C" w:rsidRDefault="00EE455C" w14:paraId="3D35330F"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In exceptional circumstances, where in country regulations do not permit the use of a single certificate, two separate certificates are issued at the end of joint programme</w:t>
                            </w:r>
                          </w:p>
                          <w:p w:rsidRPr="007358B1" w:rsidR="00EE455C" w:rsidP="00EE455C" w:rsidRDefault="00EE455C" w14:paraId="3CF4ABE7"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Senates (or equivalent) of each institution have to authorise the Joint Award. In the case of HYMS a Joint Senate Committee has been established which exercises delegated authority from the Hull and York Senates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10" style="width:468pt;height:108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" w14:anchorId="0BE28CEE">
                <v:textbox inset=",0,,0">
                  <w:txbxContent>
                    <w:p w:rsidRPr="007358B1" w:rsidR="00EE455C" w:rsidP="00EE455C" w:rsidRDefault="00EE455C">
                      <w:pPr>
                        <w:spacing w:after="120" w:line="240" w:lineRule="auto"/>
                        <w:rPr>
                          <w:i/>
                          <w:sz w:val="20"/>
                          <w:szCs w:val="20"/>
                        </w:rPr>
                      </w:pPr>
                      <w:r w:rsidRPr="007358B1">
                        <w:rPr>
                          <w:i/>
                          <w:sz w:val="20"/>
                          <w:szCs w:val="20"/>
                        </w:rPr>
                        <w:t>Explanatory note:</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essence of the Joint Award is that it is a single award given by the two institutions working together in accordance with a single regulatory and quality framework designed explicitly by the two institutions for the purpose of the award</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In exceptional circumstances, where in country regulations do not permit the use of a single certificate, two separate certificates are issued at the end of joint programme</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Senates (or equivalent) of each institution have to authorise the Joint Award. In the case of HYMS a Joint Senate Committee has been established which exercises delegated authority from the Hull and York Senates</w:t>
                      </w:r>
                    </w:p>
                  </w:txbxContent>
                </v:textbox>
                <w10:anchorlock/>
              </v:shape>
            </w:pict>
          </mc:Fallback>
        </mc:AlternateContent>
      </w:r>
      <w:bookmarkEnd w:id="4"/>
      <w:bookmarkEnd w:id="5"/>
      <w:r>
        <w:t xml:space="preserve"> </w:t>
      </w:r>
    </w:p>
    <w:p w:rsidR="00707F75" w:rsidRDefault="00707F75" w14:paraId="2A80D929" w14:textId="77777777"/>
    <w:sectPr w:rsidR="00707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317"/>
    <w:multiLevelType w:val="hybridMultilevel"/>
    <w:tmpl w:val="4CDC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30F32"/>
    <w:multiLevelType w:val="hybridMultilevel"/>
    <w:tmpl w:val="562A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0842F5"/>
    <w:multiLevelType w:val="hybridMultilevel"/>
    <w:tmpl w:val="8DDE1A64"/>
    <w:lvl w:ilvl="0" w:tplc="FA1A768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859658065">
    <w:abstractNumId w:val="3"/>
  </w:num>
  <w:num w:numId="2" w16cid:durableId="2053571916">
    <w:abstractNumId w:val="0"/>
  </w:num>
  <w:num w:numId="3" w16cid:durableId="2038194670">
    <w:abstractNumId w:val="1"/>
  </w:num>
  <w:num w:numId="4" w16cid:durableId="122810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5C"/>
    <w:rsid w:val="004904BB"/>
    <w:rsid w:val="006262E7"/>
    <w:rsid w:val="00707F75"/>
    <w:rsid w:val="00793292"/>
    <w:rsid w:val="00A927EF"/>
    <w:rsid w:val="00E30954"/>
    <w:rsid w:val="00EE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574E"/>
  <w15:chartTrackingRefBased/>
  <w15:docId w15:val="{97E7B1BB-624B-43DB-A3CD-89A9E3C6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5C"/>
    <w:rPr>
      <w:rFonts w:eastAsiaTheme="minorEastAsia"/>
      <w:lang w:eastAsia="zh-CN"/>
    </w:rPr>
  </w:style>
  <w:style w:type="paragraph" w:styleId="Heading1">
    <w:name w:val="heading 1"/>
    <w:basedOn w:val="Normal"/>
    <w:next w:val="Normal"/>
    <w:link w:val="Heading1Char"/>
    <w:uiPriority w:val="9"/>
    <w:qFormat/>
    <w:rsid w:val="00EE455C"/>
    <w:pPr>
      <w:keepNext/>
      <w:keepLines/>
      <w:numPr>
        <w:numId w:val="1"/>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E455C"/>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C"/>
    <w:rPr>
      <w:rFonts w:eastAsiaTheme="majorEastAsia" w:cstheme="majorBidi"/>
      <w:b/>
      <w:szCs w:val="32"/>
      <w:lang w:eastAsia="zh-CN"/>
    </w:rPr>
  </w:style>
  <w:style w:type="character" w:customStyle="1" w:styleId="Heading2Char">
    <w:name w:val="Heading 2 Char"/>
    <w:basedOn w:val="DefaultParagraphFont"/>
    <w:link w:val="Heading2"/>
    <w:uiPriority w:val="9"/>
    <w:rsid w:val="00EE455C"/>
    <w:rPr>
      <w:rFonts w:eastAsiaTheme="majorEastAsia" w:cstheme="majorBidi"/>
      <w:szCs w:val="26"/>
      <w:u w:val="single"/>
      <w:lang w:eastAsia="zh-CN"/>
    </w:rPr>
  </w:style>
  <w:style w:type="paragraph" w:styleId="ListParagraph">
    <w:name w:val="List Paragraph"/>
    <w:basedOn w:val="Normal"/>
    <w:link w:val="ListParagraphChar"/>
    <w:uiPriority w:val="34"/>
    <w:qFormat/>
    <w:rsid w:val="00EE455C"/>
    <w:pPr>
      <w:ind w:left="720"/>
      <w:contextualSpacing/>
    </w:pPr>
  </w:style>
  <w:style w:type="character" w:customStyle="1" w:styleId="ListParagraphChar">
    <w:name w:val="List Paragraph Char"/>
    <w:basedOn w:val="DefaultParagraphFont"/>
    <w:link w:val="ListParagraph"/>
    <w:uiPriority w:val="34"/>
    <w:rsid w:val="00EE455C"/>
    <w:rPr>
      <w:rFonts w:eastAsiaTheme="minorEastAsia"/>
      <w:lang w:eastAsia="zh-CN"/>
    </w:rPr>
  </w:style>
  <w:style w:type="paragraph" w:customStyle="1" w:styleId="numberedmainbody">
    <w:name w:val="numbered main body"/>
    <w:basedOn w:val="BodyText"/>
    <w:link w:val="numberedmainbodyChar"/>
    <w:qFormat/>
    <w:rsid w:val="00EE455C"/>
    <w:pPr>
      <w:widowControl w:val="0"/>
      <w:numPr>
        <w:ilvl w:val="1"/>
        <w:numId w:val="1"/>
      </w:numPr>
      <w:autoSpaceDE w:val="0"/>
      <w:autoSpaceDN w:val="0"/>
      <w:spacing w:before="120" w:line="240" w:lineRule="auto"/>
    </w:pPr>
    <w:rPr>
      <w:rFonts w:ascii="Calibri" w:eastAsia="Arial" w:hAnsi="Calibri" w:cs="Arial"/>
      <w:bCs/>
      <w:szCs w:val="24"/>
      <w:lang w:val="en-US"/>
    </w:rPr>
  </w:style>
  <w:style w:type="character" w:customStyle="1" w:styleId="numberedmainbodyChar">
    <w:name w:val="numbered main body Char"/>
    <w:basedOn w:val="ListParagraphChar"/>
    <w:link w:val="numberedmainbody"/>
    <w:rsid w:val="00EE455C"/>
    <w:rPr>
      <w:rFonts w:ascii="Calibri" w:eastAsia="Arial" w:hAnsi="Calibri" w:cs="Arial"/>
      <w:bCs/>
      <w:szCs w:val="24"/>
      <w:lang w:val="en-US" w:eastAsia="zh-CN"/>
    </w:rPr>
  </w:style>
  <w:style w:type="paragraph" w:styleId="BodyText">
    <w:name w:val="Body Text"/>
    <w:basedOn w:val="Normal"/>
    <w:link w:val="BodyTextChar"/>
    <w:uiPriority w:val="99"/>
    <w:semiHidden/>
    <w:unhideWhenUsed/>
    <w:rsid w:val="00EE455C"/>
    <w:pPr>
      <w:spacing w:after="120"/>
    </w:pPr>
  </w:style>
  <w:style w:type="character" w:customStyle="1" w:styleId="BodyTextChar">
    <w:name w:val="Body Text Char"/>
    <w:basedOn w:val="DefaultParagraphFont"/>
    <w:link w:val="BodyText"/>
    <w:uiPriority w:val="99"/>
    <w:semiHidden/>
    <w:rsid w:val="00EE455C"/>
    <w:rPr>
      <w:rFonts w:eastAsiaTheme="minorEastAsia"/>
      <w:lang w:eastAsia="zh-CN"/>
    </w:rPr>
  </w:style>
  <w:style w:type="paragraph" w:styleId="BalloonText">
    <w:name w:val="Balloon Text"/>
    <w:basedOn w:val="Normal"/>
    <w:link w:val="BalloonTextChar"/>
    <w:uiPriority w:val="99"/>
    <w:semiHidden/>
    <w:unhideWhenUsed/>
    <w:rsid w:val="00EE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5C"/>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partnership-activities-definitions-and-approval-routes</dc:title>
  <dc:subject>
  </dc:subject>
  <dc:creator>Lynne J Braham</dc:creator>
  <cp:keywords>
  </cp:keywords>
  <dc:description>
  </dc:description>
  <cp:lastModifiedBy>Catie Winter</cp:lastModifiedBy>
  <cp:revision>3</cp:revision>
  <dcterms:created xsi:type="dcterms:W3CDTF">2023-05-10T16:39:00Z</dcterms:created>
  <dcterms:modified xsi:type="dcterms:W3CDTF">2025-07-29T08:23:03Z</dcterms:modified>
</cp:coreProperties>
</file>