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1753DA" w:rsidRDefault="001753DA" w14:paraId="5E21FA60" w14:textId="578654E2">
      <w:pPr>
        <w:tabs>
          <w:tab w:val="left" w:pos="3420"/>
          <w:tab w:val="left" w:pos="8107"/>
        </w:tabs>
        <w:jc w:val="left"/>
        <w:rPr>
          <w:b/>
          <w:sz w:val="24"/>
        </w:rPr>
      </w:pPr>
      <w:r>
        <w:rPr>
          <w:b/>
          <w:sz w:val="24"/>
        </w:rPr>
        <w:tab/>
      </w:r>
      <w:r>
        <w:rPr>
          <w:b/>
          <w:sz w:val="24"/>
        </w:rPr>
        <w:tab/>
        <w:t xml:space="preserve"> </w:t>
      </w:r>
    </w:p>
    <w:p w:rsidRPr="00137EBE" w:rsidR="00DC5030" w:rsidP="00986235" w:rsidRDefault="00986235" w14:paraId="588F1934" w14:textId="4E19CE56">
      <w:pPr>
        <w:tabs>
          <w:tab w:val="left" w:pos="3420"/>
        </w:tabs>
        <w:jc w:val="center"/>
        <w:rPr>
          <w:rFonts w:asciiTheme="minorHAnsi" w:hAnsiTheme="minorHAnsi"/>
          <w:b/>
          <w:sz w:val="28"/>
          <w:szCs w:val="28"/>
        </w:rPr>
      </w:pPr>
      <w:r>
        <w:rPr>
          <w:rFonts w:asciiTheme="minorHAnsi" w:hAnsiTheme="minorHAnsi"/>
          <w:b/>
          <w:sz w:val="28"/>
          <w:szCs w:val="28"/>
        </w:rPr>
        <w:t xml:space="preserve">QUALITY </w:t>
      </w:r>
      <w:r w:rsidR="00AC3C35">
        <w:rPr>
          <w:rFonts w:asciiTheme="minorHAnsi" w:hAnsiTheme="minorHAnsi"/>
          <w:b/>
          <w:sz w:val="28"/>
          <w:szCs w:val="28"/>
        </w:rPr>
        <w:t>SUPPORT SERVICE</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0C4CE0" w:rsidP="00904CAD" w:rsidRDefault="00AC3C35" w14:paraId="7660BAC2" w14:textId="62C097CD">
      <w:pPr>
        <w:tabs>
          <w:tab w:val="left" w:pos="3420"/>
        </w:tabs>
        <w:jc w:val="center"/>
        <w:rPr>
          <w:rFonts w:asciiTheme="minorHAnsi" w:hAnsiTheme="minorHAnsi"/>
          <w:b/>
          <w:sz w:val="28"/>
          <w:szCs w:val="28"/>
        </w:rPr>
      </w:pPr>
      <w:r>
        <w:rPr>
          <w:rFonts w:asciiTheme="minorHAnsi" w:hAnsiTheme="minorHAnsi"/>
          <w:b/>
          <w:sz w:val="28"/>
          <w:szCs w:val="28"/>
        </w:rPr>
        <w:t>Academic Year 2023-24</w:t>
      </w: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1D9B60FF">
      <w:pPr>
        <w:tabs>
          <w:tab w:val="left" w:pos="3420"/>
        </w:tabs>
        <w:rPr>
          <w:rFonts w:asciiTheme="minorHAnsi" w:hAnsiTheme="minorHAnsi"/>
          <w:sz w:val="22"/>
          <w:szCs w:val="22"/>
        </w:rPr>
      </w:pPr>
      <w:r w:rsidRPr="00137EBE">
        <w:rPr>
          <w:rFonts w:asciiTheme="minorHAnsi" w:hAnsiTheme="minorHAnsi"/>
          <w:sz w:val="22"/>
          <w:szCs w:val="22"/>
        </w:rPr>
        <w:t xml:space="preserve">This document shows </w:t>
      </w:r>
      <w:r w:rsidR="00AC3C35">
        <w:rPr>
          <w:rFonts w:asciiTheme="minorHAnsi" w:hAnsiTheme="minorHAnsi"/>
          <w:sz w:val="22"/>
          <w:szCs w:val="22"/>
        </w:rPr>
        <w:t>all the</w:t>
      </w:r>
      <w:r w:rsidRPr="00137EBE">
        <w:rPr>
          <w:rFonts w:asciiTheme="minorHAnsi" w:hAnsiTheme="minorHAnsi"/>
          <w:sz w:val="22"/>
          <w:szCs w:val="22"/>
        </w:rPr>
        <w:t xml:space="preserve"> changes to the University’s Quality and Standards </w:t>
      </w:r>
      <w:r w:rsidRPr="00137EBE" w:rsidR="009179B3">
        <w:rPr>
          <w:rFonts w:asciiTheme="minorHAnsi" w:hAnsiTheme="minorHAnsi"/>
          <w:sz w:val="22"/>
          <w:szCs w:val="22"/>
        </w:rPr>
        <w:t>F</w:t>
      </w:r>
      <w:r w:rsidRPr="00137EBE">
        <w:rPr>
          <w:rFonts w:asciiTheme="minorHAnsi" w:hAnsiTheme="minorHAnsi"/>
          <w:sz w:val="22"/>
          <w:szCs w:val="22"/>
        </w:rPr>
        <w:t>ramework</w:t>
      </w:r>
      <w:r w:rsidRPr="00137EBE" w:rsidR="00005882">
        <w:rPr>
          <w:rFonts w:asciiTheme="minorHAnsi" w:hAnsiTheme="minorHAnsi"/>
          <w:sz w:val="22"/>
          <w:szCs w:val="22"/>
        </w:rPr>
        <w:t xml:space="preserve"> </w:t>
      </w:r>
      <w:r w:rsidR="00AC3C35">
        <w:rPr>
          <w:rFonts w:asciiTheme="minorHAnsi" w:hAnsiTheme="minorHAnsi"/>
          <w:sz w:val="22"/>
          <w:szCs w:val="22"/>
        </w:rPr>
        <w:t>during academic year</w:t>
      </w:r>
      <w:r w:rsidR="001753DA">
        <w:rPr>
          <w:rFonts w:asciiTheme="minorHAnsi" w:hAnsiTheme="minorHAnsi"/>
          <w:sz w:val="22"/>
          <w:szCs w:val="22"/>
        </w:rPr>
        <w:t xml:space="preserve"> </w:t>
      </w:r>
      <w:r w:rsidR="00FE31E8">
        <w:rPr>
          <w:rFonts w:asciiTheme="minorHAnsi" w:hAnsiTheme="minorHAnsi"/>
          <w:sz w:val="22"/>
          <w:szCs w:val="22"/>
        </w:rPr>
        <w:t>2023</w:t>
      </w:r>
      <w:r w:rsidR="00AC3C35">
        <w:rPr>
          <w:rFonts w:asciiTheme="minorHAnsi" w:hAnsiTheme="minorHAnsi"/>
          <w:sz w:val="22"/>
          <w:szCs w:val="22"/>
        </w:rPr>
        <w:t>-24</w:t>
      </w:r>
      <w:r w:rsidRPr="00904CAD" w:rsidR="00B66AA0">
        <w:rPr>
          <w:rFonts w:asciiTheme="minorHAnsi" w:hAnsiTheme="minorHAnsi"/>
          <w:sz w:val="22"/>
          <w:szCs w:val="22"/>
        </w:rPr>
        <w:t>.</w:t>
      </w:r>
    </w:p>
    <w:p w:rsidRPr="00137EBE" w:rsidR="002819A0" w:rsidP="00787F6E" w:rsidRDefault="002819A0" w14:paraId="4A69CCDD" w14:textId="77777777">
      <w:pPr>
        <w:tabs>
          <w:tab w:val="left" w:pos="3420"/>
        </w:tabs>
        <w:rPr>
          <w:rFonts w:asciiTheme="minorHAnsi" w:hAnsiTheme="minorHAnsi"/>
          <w:sz w:val="22"/>
          <w:szCs w:val="22"/>
        </w:rPr>
      </w:pPr>
    </w:p>
    <w:p w:rsidRPr="00137EBE" w:rsidR="002819A0" w:rsidP="00787F6E" w:rsidRDefault="002819A0" w14:paraId="57E50909" w14:textId="77777777">
      <w:pPr>
        <w:tabs>
          <w:tab w:val="left" w:pos="3420"/>
        </w:tabs>
        <w:rPr>
          <w:rFonts w:asciiTheme="minorHAnsi" w:hAnsiTheme="minorHAnsi"/>
          <w:sz w:val="22"/>
          <w:szCs w:val="22"/>
        </w:rPr>
      </w:pPr>
    </w:p>
    <w:p w:rsidRPr="00137EBE" w:rsidR="002819A0" w:rsidP="002819A0" w:rsidRDefault="002819A0" w14:paraId="08987471" w14:textId="77777777">
      <w:pPr>
        <w:tabs>
          <w:tab w:val="left" w:pos="3420"/>
        </w:tabs>
        <w:rPr>
          <w:rFonts w:asciiTheme="minorHAnsi" w:hAnsiTheme="minorHAnsi"/>
          <w:b/>
          <w:sz w:val="22"/>
          <w:szCs w:val="22"/>
          <w:u w:val="single"/>
        </w:rPr>
      </w:pPr>
      <w:r w:rsidRPr="00137EBE">
        <w:rPr>
          <w:rFonts w:asciiTheme="minorHAnsi" w:hAnsiTheme="minorHAnsi"/>
          <w:b/>
          <w:sz w:val="22"/>
          <w:szCs w:val="22"/>
          <w:u w:val="single"/>
        </w:rPr>
        <w:t>Quality and Standards Framework Developments</w:t>
      </w:r>
    </w:p>
    <w:p w:rsidRPr="00137EBE" w:rsidR="004A7043" w:rsidP="000E6DEB" w:rsidRDefault="009205F2" w14:paraId="5BB7C22E" w14:textId="77777777">
      <w:pPr>
        <w:spacing w:before="120" w:after="120"/>
        <w:rPr>
          <w:rFonts w:asciiTheme="minorHAnsi" w:hAnsiTheme="minorHAnsi"/>
          <w:sz w:val="22"/>
          <w:szCs w:val="22"/>
        </w:rPr>
      </w:pPr>
      <w:r w:rsidRPr="00137EBE">
        <w:rPr>
          <w:rFonts w:asciiTheme="minorHAnsi" w:hAnsiTheme="minorHAnsi"/>
          <w:sz w:val="22"/>
          <w:szCs w:val="22"/>
        </w:rPr>
        <w:t xml:space="preserve">Feedback on this document is welcomed and should be sent to </w:t>
      </w:r>
      <w:r w:rsidRPr="00137EBE" w:rsidR="00BA4A37">
        <w:rPr>
          <w:rFonts w:asciiTheme="minorHAnsi" w:hAnsiTheme="minorHAnsi"/>
          <w:sz w:val="22"/>
          <w:szCs w:val="22"/>
        </w:rPr>
        <w:t>Lisa Tees (</w:t>
      </w:r>
      <w:hyperlink w:history="1" r:id="rId8">
        <w:r w:rsidRPr="00137EBE" w:rsidR="004A7043">
          <w:rPr>
            <w:rStyle w:val="Hyperlink"/>
            <w:rFonts w:asciiTheme="minorHAnsi" w:hAnsiTheme="minorHAnsi"/>
            <w:sz w:val="22"/>
            <w:szCs w:val="22"/>
          </w:rPr>
          <w:t>L.Tees@hull.ac.uk</w:t>
        </w:r>
      </w:hyperlink>
      <w:r w:rsidRPr="00137EBE" w:rsidR="00BA4A37">
        <w:rPr>
          <w:rFonts w:asciiTheme="minorHAnsi" w:hAnsiTheme="minorHAnsi"/>
          <w:sz w:val="22"/>
          <w:szCs w:val="22"/>
        </w:rPr>
        <w:t>)</w:t>
      </w: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6A3A33" w14:paraId="0BE0BB6A" w14:textId="7D071195">
          <w:pPr>
            <w:pStyle w:val="NEW"/>
            <w:rPr>
              <w:rStyle w:val="arial12"/>
              <w:rFonts w:asciiTheme="minorHAnsi" w:hAnsiTheme="minorHAnsi"/>
              <w:noProof/>
            </w:rPr>
          </w:pPr>
          <w:hyperlink w:history="1" w:anchor="Approved">
            <w:r w:rsidRPr="00D7304F" w:rsidR="00F270D0">
              <w:rPr>
                <w:rStyle w:val="arial12"/>
                <w:rFonts w:asciiTheme="minorHAnsi" w:hAnsiTheme="minorHAnsi"/>
              </w:rPr>
              <w:tab/>
            </w:r>
          </w:hyperlink>
        </w:p>
        <w:p w:rsidR="003C501D" w:rsidRDefault="00266D56" w14:paraId="129AFBA9" w14:textId="2200BE7F">
          <w:pPr>
            <w:pStyle w:val="TOC1"/>
            <w:rPr>
              <w:rFonts w:asciiTheme="minorHAnsi" w:hAnsiTheme="minorHAnsi" w:eastAsiaTheme="minorEastAsia" w:cstheme="minorBidi"/>
              <w:caps w:val="0"/>
              <w:kern w:val="2"/>
              <w:sz w:val="24"/>
              <w:szCs w:val="24"/>
              <w:lang w:eastAsia="en-GB"/>
              <w14:ligatures w14:val="standardContextual"/>
            </w:rPr>
          </w:pPr>
          <w:r w:rsidRPr="00EF296F">
            <w:rPr>
              <w:rStyle w:val="arial12"/>
              <w:rFonts w:cs="Times New Roman" w:asciiTheme="minorHAnsi" w:hAnsiTheme="minorHAnsi"/>
              <w:smallCaps/>
              <w:color w:val="2E74B5" w:themeColor="accent1" w:themeShade="BF"/>
              <w:sz w:val="28"/>
              <w:szCs w:val="28"/>
              <w:lang w:eastAsia="en-GB"/>
            </w:rPr>
            <w:fldChar w:fldCharType="begin"/>
          </w:r>
          <w:r w:rsidRPr="00EF296F">
            <w:rPr>
              <w:rStyle w:val="arial12"/>
              <w:rFonts w:asciiTheme="minorHAnsi" w:hAnsiTheme="minorHAnsi"/>
              <w:color w:val="2E74B5" w:themeColor="accent1" w:themeShade="BF"/>
              <w:sz w:val="28"/>
              <w:szCs w:val="28"/>
            </w:rPr>
            <w:instrText xml:space="preserve"> TOC \o "1-3" \h \z \u </w:instrText>
          </w:r>
          <w:r w:rsidRPr="00EF296F">
            <w:rPr>
              <w:rStyle w:val="arial12"/>
              <w:rFonts w:cs="Times New Roman" w:asciiTheme="minorHAnsi" w:hAnsiTheme="minorHAnsi"/>
              <w:smallCaps/>
              <w:color w:val="2E74B5" w:themeColor="accent1" w:themeShade="BF"/>
              <w:sz w:val="28"/>
              <w:szCs w:val="28"/>
              <w:lang w:eastAsia="en-GB"/>
            </w:rPr>
            <w:fldChar w:fldCharType="separate"/>
          </w:r>
          <w:hyperlink w:history="1" w:anchor="_Toc174628992">
            <w:r w:rsidRPr="00EB79DC" w:rsidR="003C501D">
              <w:rPr>
                <w:rStyle w:val="Hyperlink"/>
              </w:rPr>
              <w:t>APPROVED AMENDMENTS TO THE QUALITY AND STANDARDS FRAMEWORK</w:t>
            </w:r>
            <w:r w:rsidR="003C501D">
              <w:rPr>
                <w:webHidden/>
              </w:rPr>
              <w:tab/>
            </w:r>
            <w:r w:rsidR="003C501D">
              <w:rPr>
                <w:webHidden/>
              </w:rPr>
              <w:fldChar w:fldCharType="begin"/>
            </w:r>
            <w:r w:rsidR="003C501D">
              <w:rPr>
                <w:webHidden/>
              </w:rPr>
              <w:instrText xml:space="preserve"> PAGEREF _Toc174628992 \h </w:instrText>
            </w:r>
            <w:r w:rsidR="003C501D">
              <w:rPr>
                <w:webHidden/>
              </w:rPr>
            </w:r>
            <w:r w:rsidR="003C501D">
              <w:rPr>
                <w:webHidden/>
              </w:rPr>
              <w:fldChar w:fldCharType="separate"/>
            </w:r>
            <w:r w:rsidR="003C501D">
              <w:rPr>
                <w:webHidden/>
              </w:rPr>
              <w:t>3</w:t>
            </w:r>
            <w:r w:rsidR="003C501D">
              <w:rPr>
                <w:webHidden/>
              </w:rPr>
              <w:fldChar w:fldCharType="end"/>
            </w:r>
          </w:hyperlink>
        </w:p>
        <w:p w:rsidR="003C501D" w:rsidRDefault="006A3A33" w14:paraId="5EB54395" w14:textId="3D8C9AB5">
          <w:pPr>
            <w:pStyle w:val="TOC2"/>
            <w:rPr>
              <w:rFonts w:asciiTheme="minorHAnsi" w:hAnsiTheme="minorHAnsi" w:eastAsiaTheme="minorEastAsia" w:cstheme="minorBidi"/>
              <w:smallCaps w:val="0"/>
              <w:noProof/>
              <w:kern w:val="2"/>
              <w:sz w:val="24"/>
              <w14:ligatures w14:val="standardContextual"/>
            </w:rPr>
          </w:pPr>
          <w:hyperlink w:history="1" w:anchor="_Toc174628993">
            <w:r w:rsidRPr="00EB79DC" w:rsidR="003C501D">
              <w:rPr>
                <w:rStyle w:val="Hyperlink"/>
                <w:rFonts w:cs="Arial"/>
                <w:b/>
                <w:bCs/>
                <w:iCs/>
                <w:noProof/>
              </w:rPr>
              <w:t>ASSESSMENT</w:t>
            </w:r>
            <w:r w:rsidR="003C501D">
              <w:rPr>
                <w:noProof/>
                <w:webHidden/>
              </w:rPr>
              <w:tab/>
            </w:r>
            <w:r w:rsidR="003C501D">
              <w:rPr>
                <w:noProof/>
                <w:webHidden/>
              </w:rPr>
              <w:fldChar w:fldCharType="begin"/>
            </w:r>
            <w:r w:rsidR="003C501D">
              <w:rPr>
                <w:noProof/>
                <w:webHidden/>
              </w:rPr>
              <w:instrText xml:space="preserve"> PAGEREF _Toc174628993 \h </w:instrText>
            </w:r>
            <w:r w:rsidR="003C501D">
              <w:rPr>
                <w:noProof/>
                <w:webHidden/>
              </w:rPr>
            </w:r>
            <w:r w:rsidR="003C501D">
              <w:rPr>
                <w:noProof/>
                <w:webHidden/>
              </w:rPr>
              <w:fldChar w:fldCharType="separate"/>
            </w:r>
            <w:r w:rsidR="003C501D">
              <w:rPr>
                <w:noProof/>
                <w:webHidden/>
              </w:rPr>
              <w:t>3</w:t>
            </w:r>
            <w:r w:rsidR="003C501D">
              <w:rPr>
                <w:noProof/>
                <w:webHidden/>
              </w:rPr>
              <w:fldChar w:fldCharType="end"/>
            </w:r>
          </w:hyperlink>
        </w:p>
        <w:p w:rsidR="003C501D" w:rsidRDefault="006A3A33" w14:paraId="6AEE8604" w14:textId="06D644FE">
          <w:pPr>
            <w:pStyle w:val="TOC2"/>
            <w:rPr>
              <w:rFonts w:asciiTheme="minorHAnsi" w:hAnsiTheme="minorHAnsi" w:eastAsiaTheme="minorEastAsia" w:cstheme="minorBidi"/>
              <w:smallCaps w:val="0"/>
              <w:noProof/>
              <w:kern w:val="2"/>
              <w:sz w:val="24"/>
              <w14:ligatures w14:val="standardContextual"/>
            </w:rPr>
          </w:pPr>
          <w:hyperlink w:history="1" w:anchor="_Toc174628994">
            <w:r w:rsidRPr="00EB79DC" w:rsidR="003C501D">
              <w:rPr>
                <w:rStyle w:val="Hyperlink"/>
                <w:rFonts w:cs="Arial"/>
                <w:b/>
                <w:bCs/>
                <w:iCs/>
                <w:noProof/>
              </w:rPr>
              <w:t>COLLABORATIVE PROVISION</w:t>
            </w:r>
            <w:r w:rsidR="003C501D">
              <w:rPr>
                <w:noProof/>
                <w:webHidden/>
              </w:rPr>
              <w:tab/>
            </w:r>
            <w:r w:rsidR="003C501D">
              <w:rPr>
                <w:noProof/>
                <w:webHidden/>
              </w:rPr>
              <w:fldChar w:fldCharType="begin"/>
            </w:r>
            <w:r w:rsidR="003C501D">
              <w:rPr>
                <w:noProof/>
                <w:webHidden/>
              </w:rPr>
              <w:instrText xml:space="preserve"> PAGEREF _Toc174628994 \h </w:instrText>
            </w:r>
            <w:r w:rsidR="003C501D">
              <w:rPr>
                <w:noProof/>
                <w:webHidden/>
              </w:rPr>
            </w:r>
            <w:r w:rsidR="003C501D">
              <w:rPr>
                <w:noProof/>
                <w:webHidden/>
              </w:rPr>
              <w:fldChar w:fldCharType="separate"/>
            </w:r>
            <w:r w:rsidR="003C501D">
              <w:rPr>
                <w:noProof/>
                <w:webHidden/>
              </w:rPr>
              <w:t>5</w:t>
            </w:r>
            <w:r w:rsidR="003C501D">
              <w:rPr>
                <w:noProof/>
                <w:webHidden/>
              </w:rPr>
              <w:fldChar w:fldCharType="end"/>
            </w:r>
          </w:hyperlink>
        </w:p>
        <w:p w:rsidR="003C501D" w:rsidRDefault="006A3A33" w14:paraId="5B982DF4" w14:textId="0A47DE33">
          <w:pPr>
            <w:pStyle w:val="TOC2"/>
            <w:rPr>
              <w:rFonts w:asciiTheme="minorHAnsi" w:hAnsiTheme="minorHAnsi" w:eastAsiaTheme="minorEastAsia" w:cstheme="minorBidi"/>
              <w:smallCaps w:val="0"/>
              <w:noProof/>
              <w:kern w:val="2"/>
              <w:sz w:val="24"/>
              <w14:ligatures w14:val="standardContextual"/>
            </w:rPr>
          </w:pPr>
          <w:hyperlink w:history="1" w:anchor="_Toc174628995">
            <w:r w:rsidRPr="00EB79DC" w:rsidR="003C501D">
              <w:rPr>
                <w:rStyle w:val="Hyperlink"/>
                <w:rFonts w:cs="Arial"/>
                <w:b/>
                <w:bCs/>
                <w:iCs/>
                <w:noProof/>
              </w:rPr>
              <w:t>PROGRAMME DEVELOPMENT and MANAGEMENT</w:t>
            </w:r>
            <w:r w:rsidR="003C501D">
              <w:rPr>
                <w:noProof/>
                <w:webHidden/>
              </w:rPr>
              <w:tab/>
            </w:r>
            <w:r w:rsidR="003C501D">
              <w:rPr>
                <w:noProof/>
                <w:webHidden/>
              </w:rPr>
              <w:fldChar w:fldCharType="begin"/>
            </w:r>
            <w:r w:rsidR="003C501D">
              <w:rPr>
                <w:noProof/>
                <w:webHidden/>
              </w:rPr>
              <w:instrText xml:space="preserve"> PAGEREF _Toc174628995 \h </w:instrText>
            </w:r>
            <w:r w:rsidR="003C501D">
              <w:rPr>
                <w:noProof/>
                <w:webHidden/>
              </w:rPr>
            </w:r>
            <w:r w:rsidR="003C501D">
              <w:rPr>
                <w:noProof/>
                <w:webHidden/>
              </w:rPr>
              <w:fldChar w:fldCharType="separate"/>
            </w:r>
            <w:r w:rsidR="003C501D">
              <w:rPr>
                <w:noProof/>
                <w:webHidden/>
              </w:rPr>
              <w:t>7</w:t>
            </w:r>
            <w:r w:rsidR="003C501D">
              <w:rPr>
                <w:noProof/>
                <w:webHidden/>
              </w:rPr>
              <w:fldChar w:fldCharType="end"/>
            </w:r>
          </w:hyperlink>
        </w:p>
        <w:p w:rsidR="003C501D" w:rsidRDefault="006A3A33" w14:paraId="7827D60F" w14:textId="3DA4C56F">
          <w:pPr>
            <w:pStyle w:val="TOC2"/>
            <w:rPr>
              <w:rFonts w:asciiTheme="minorHAnsi" w:hAnsiTheme="minorHAnsi" w:eastAsiaTheme="minorEastAsia" w:cstheme="minorBidi"/>
              <w:smallCaps w:val="0"/>
              <w:noProof/>
              <w:kern w:val="2"/>
              <w:sz w:val="24"/>
              <w14:ligatures w14:val="standardContextual"/>
            </w:rPr>
          </w:pPr>
          <w:hyperlink w:history="1" w:anchor="_Toc174628996">
            <w:r w:rsidRPr="00EB79DC" w:rsidR="003C501D">
              <w:rPr>
                <w:rStyle w:val="Hyperlink"/>
                <w:rFonts w:cs="Arial"/>
                <w:b/>
                <w:bCs/>
                <w:iCs/>
                <w:noProof/>
              </w:rPr>
              <w:t>PROGRAMME REGULATIONS</w:t>
            </w:r>
            <w:r w:rsidR="003C501D">
              <w:rPr>
                <w:noProof/>
                <w:webHidden/>
              </w:rPr>
              <w:tab/>
            </w:r>
            <w:r w:rsidR="003C501D">
              <w:rPr>
                <w:noProof/>
                <w:webHidden/>
              </w:rPr>
              <w:fldChar w:fldCharType="begin"/>
            </w:r>
            <w:r w:rsidR="003C501D">
              <w:rPr>
                <w:noProof/>
                <w:webHidden/>
              </w:rPr>
              <w:instrText xml:space="preserve"> PAGEREF _Toc174628996 \h </w:instrText>
            </w:r>
            <w:r w:rsidR="003C501D">
              <w:rPr>
                <w:noProof/>
                <w:webHidden/>
              </w:rPr>
            </w:r>
            <w:r w:rsidR="003C501D">
              <w:rPr>
                <w:noProof/>
                <w:webHidden/>
              </w:rPr>
              <w:fldChar w:fldCharType="separate"/>
            </w:r>
            <w:r w:rsidR="003C501D">
              <w:rPr>
                <w:noProof/>
                <w:webHidden/>
              </w:rPr>
              <w:t>8</w:t>
            </w:r>
            <w:r w:rsidR="003C501D">
              <w:rPr>
                <w:noProof/>
                <w:webHidden/>
              </w:rPr>
              <w:fldChar w:fldCharType="end"/>
            </w:r>
          </w:hyperlink>
        </w:p>
        <w:p w:rsidR="003C501D" w:rsidRDefault="006A3A33" w14:paraId="2B4BF749" w14:textId="23AB741F">
          <w:pPr>
            <w:pStyle w:val="TOC2"/>
            <w:rPr>
              <w:rFonts w:asciiTheme="minorHAnsi" w:hAnsiTheme="minorHAnsi" w:eastAsiaTheme="minorEastAsia" w:cstheme="minorBidi"/>
              <w:smallCaps w:val="0"/>
              <w:noProof/>
              <w:kern w:val="2"/>
              <w:sz w:val="24"/>
              <w14:ligatures w14:val="standardContextual"/>
            </w:rPr>
          </w:pPr>
          <w:hyperlink w:history="1" w:anchor="_Toc174628997">
            <w:r w:rsidRPr="00EB79DC" w:rsidR="003C501D">
              <w:rPr>
                <w:rStyle w:val="Hyperlink"/>
                <w:rFonts w:cs="Arial"/>
                <w:b/>
                <w:bCs/>
                <w:iCs/>
                <w:noProof/>
              </w:rPr>
              <w:t>MONITORING AND ENHANCEMENT</w:t>
            </w:r>
            <w:r w:rsidR="003C501D">
              <w:rPr>
                <w:noProof/>
                <w:webHidden/>
              </w:rPr>
              <w:tab/>
            </w:r>
            <w:r w:rsidR="003C501D">
              <w:rPr>
                <w:noProof/>
                <w:webHidden/>
              </w:rPr>
              <w:fldChar w:fldCharType="begin"/>
            </w:r>
            <w:r w:rsidR="003C501D">
              <w:rPr>
                <w:noProof/>
                <w:webHidden/>
              </w:rPr>
              <w:instrText xml:space="preserve"> PAGEREF _Toc174628997 \h </w:instrText>
            </w:r>
            <w:r w:rsidR="003C501D">
              <w:rPr>
                <w:noProof/>
                <w:webHidden/>
              </w:rPr>
            </w:r>
            <w:r w:rsidR="003C501D">
              <w:rPr>
                <w:noProof/>
                <w:webHidden/>
              </w:rPr>
              <w:fldChar w:fldCharType="separate"/>
            </w:r>
            <w:r w:rsidR="003C501D">
              <w:rPr>
                <w:noProof/>
                <w:webHidden/>
              </w:rPr>
              <w:t>8</w:t>
            </w:r>
            <w:r w:rsidR="003C501D">
              <w:rPr>
                <w:noProof/>
                <w:webHidden/>
              </w:rPr>
              <w:fldChar w:fldCharType="end"/>
            </w:r>
          </w:hyperlink>
        </w:p>
        <w:p w:rsidR="003C501D" w:rsidRDefault="006A3A33" w14:paraId="1C5A6C7C" w14:textId="6C2E8511">
          <w:pPr>
            <w:pStyle w:val="TOC2"/>
            <w:rPr>
              <w:rFonts w:asciiTheme="minorHAnsi" w:hAnsiTheme="minorHAnsi" w:eastAsiaTheme="minorEastAsia" w:cstheme="minorBidi"/>
              <w:smallCaps w:val="0"/>
              <w:noProof/>
              <w:kern w:val="2"/>
              <w:sz w:val="24"/>
              <w14:ligatures w14:val="standardContextual"/>
            </w:rPr>
          </w:pPr>
          <w:hyperlink w:history="1" w:anchor="_Toc174628998">
            <w:r w:rsidRPr="00EB79DC" w:rsidR="003C501D">
              <w:rPr>
                <w:rStyle w:val="Hyperlink"/>
                <w:rFonts w:cs="Arial"/>
                <w:b/>
                <w:bCs/>
                <w:iCs/>
                <w:noProof/>
              </w:rPr>
              <w:t>RESEARCH DEGREES</w:t>
            </w:r>
            <w:r w:rsidR="003C501D">
              <w:rPr>
                <w:noProof/>
                <w:webHidden/>
              </w:rPr>
              <w:tab/>
            </w:r>
            <w:r w:rsidR="003C501D">
              <w:rPr>
                <w:noProof/>
                <w:webHidden/>
              </w:rPr>
              <w:fldChar w:fldCharType="begin"/>
            </w:r>
            <w:r w:rsidR="003C501D">
              <w:rPr>
                <w:noProof/>
                <w:webHidden/>
              </w:rPr>
              <w:instrText xml:space="preserve"> PAGEREF _Toc174628998 \h </w:instrText>
            </w:r>
            <w:r w:rsidR="003C501D">
              <w:rPr>
                <w:noProof/>
                <w:webHidden/>
              </w:rPr>
            </w:r>
            <w:r w:rsidR="003C501D">
              <w:rPr>
                <w:noProof/>
                <w:webHidden/>
              </w:rPr>
              <w:fldChar w:fldCharType="separate"/>
            </w:r>
            <w:r w:rsidR="003C501D">
              <w:rPr>
                <w:noProof/>
                <w:webHidden/>
              </w:rPr>
              <w:t>9</w:t>
            </w:r>
            <w:r w:rsidR="003C501D">
              <w:rPr>
                <w:noProof/>
                <w:webHidden/>
              </w:rPr>
              <w:fldChar w:fldCharType="end"/>
            </w:r>
          </w:hyperlink>
        </w:p>
        <w:p w:rsidR="003C501D" w:rsidRDefault="006A3A33" w14:paraId="54009707" w14:textId="54936FD8">
          <w:pPr>
            <w:pStyle w:val="TOC2"/>
            <w:rPr>
              <w:rFonts w:asciiTheme="minorHAnsi" w:hAnsiTheme="minorHAnsi" w:eastAsiaTheme="minorEastAsia" w:cstheme="minorBidi"/>
              <w:smallCaps w:val="0"/>
              <w:noProof/>
              <w:kern w:val="2"/>
              <w:sz w:val="24"/>
              <w14:ligatures w14:val="standardContextual"/>
            </w:rPr>
          </w:pPr>
          <w:hyperlink w:history="1" w:anchor="_Toc174628999">
            <w:r w:rsidRPr="00EB79DC" w:rsidR="003C501D">
              <w:rPr>
                <w:rStyle w:val="Hyperlink"/>
                <w:noProof/>
              </w:rPr>
              <w:t>STUDENT INFORMATION</w:t>
            </w:r>
            <w:r w:rsidR="003C501D">
              <w:rPr>
                <w:noProof/>
                <w:webHidden/>
              </w:rPr>
              <w:tab/>
            </w:r>
            <w:r w:rsidR="003C501D">
              <w:rPr>
                <w:noProof/>
                <w:webHidden/>
              </w:rPr>
              <w:fldChar w:fldCharType="begin"/>
            </w:r>
            <w:r w:rsidR="003C501D">
              <w:rPr>
                <w:noProof/>
                <w:webHidden/>
              </w:rPr>
              <w:instrText xml:space="preserve"> PAGEREF _Toc174628999 \h </w:instrText>
            </w:r>
            <w:r w:rsidR="003C501D">
              <w:rPr>
                <w:noProof/>
                <w:webHidden/>
              </w:rPr>
            </w:r>
            <w:r w:rsidR="003C501D">
              <w:rPr>
                <w:noProof/>
                <w:webHidden/>
              </w:rPr>
              <w:fldChar w:fldCharType="separate"/>
            </w:r>
            <w:r w:rsidR="003C501D">
              <w:rPr>
                <w:noProof/>
                <w:webHidden/>
              </w:rPr>
              <w:t>10</w:t>
            </w:r>
            <w:r w:rsidR="003C501D">
              <w:rPr>
                <w:noProof/>
                <w:webHidden/>
              </w:rPr>
              <w:fldChar w:fldCharType="end"/>
            </w:r>
          </w:hyperlink>
        </w:p>
        <w:p w:rsidR="003C501D" w:rsidRDefault="006A3A33" w14:paraId="35AEDA69" w14:textId="48314C8E">
          <w:pPr>
            <w:pStyle w:val="TOC2"/>
            <w:rPr>
              <w:rFonts w:asciiTheme="minorHAnsi" w:hAnsiTheme="minorHAnsi" w:eastAsiaTheme="minorEastAsia" w:cstheme="minorBidi"/>
              <w:smallCaps w:val="0"/>
              <w:noProof/>
              <w:kern w:val="2"/>
              <w:sz w:val="24"/>
              <w14:ligatures w14:val="standardContextual"/>
            </w:rPr>
          </w:pPr>
          <w:hyperlink w:history="1" w:anchor="_Toc174629000">
            <w:r w:rsidRPr="00EB79DC" w:rsidR="003C501D">
              <w:rPr>
                <w:rStyle w:val="Hyperlink"/>
                <w:noProof/>
              </w:rPr>
              <w:t>SUPPORT</w:t>
            </w:r>
            <w:r w:rsidR="003C501D">
              <w:rPr>
                <w:noProof/>
                <w:webHidden/>
              </w:rPr>
              <w:tab/>
            </w:r>
            <w:r w:rsidR="003C501D">
              <w:rPr>
                <w:noProof/>
                <w:webHidden/>
              </w:rPr>
              <w:fldChar w:fldCharType="begin"/>
            </w:r>
            <w:r w:rsidR="003C501D">
              <w:rPr>
                <w:noProof/>
                <w:webHidden/>
              </w:rPr>
              <w:instrText xml:space="preserve"> PAGEREF _Toc174629000 \h </w:instrText>
            </w:r>
            <w:r w:rsidR="003C501D">
              <w:rPr>
                <w:noProof/>
                <w:webHidden/>
              </w:rPr>
            </w:r>
            <w:r w:rsidR="003C501D">
              <w:rPr>
                <w:noProof/>
                <w:webHidden/>
              </w:rPr>
              <w:fldChar w:fldCharType="separate"/>
            </w:r>
            <w:r w:rsidR="003C501D">
              <w:rPr>
                <w:noProof/>
                <w:webHidden/>
              </w:rPr>
              <w:t>13</w:t>
            </w:r>
            <w:r w:rsidR="003C501D">
              <w:rPr>
                <w:noProof/>
                <w:webHidden/>
              </w:rPr>
              <w:fldChar w:fldCharType="end"/>
            </w:r>
          </w:hyperlink>
        </w:p>
        <w:p w:rsidR="003C501D" w:rsidRDefault="006A3A33" w14:paraId="0FFDB315" w14:textId="7BE4A5B0">
          <w:pPr>
            <w:pStyle w:val="TOC2"/>
            <w:rPr>
              <w:rFonts w:asciiTheme="minorHAnsi" w:hAnsiTheme="minorHAnsi" w:eastAsiaTheme="minorEastAsia" w:cstheme="minorBidi"/>
              <w:smallCaps w:val="0"/>
              <w:noProof/>
              <w:kern w:val="2"/>
              <w:sz w:val="24"/>
              <w14:ligatures w14:val="standardContextual"/>
            </w:rPr>
          </w:pPr>
          <w:hyperlink w:history="1" w:anchor="_Toc174629001">
            <w:r w:rsidRPr="00EB79DC" w:rsidR="003C501D">
              <w:rPr>
                <w:rStyle w:val="Hyperlink"/>
                <w:noProof/>
              </w:rPr>
              <w:t>HOUSEKEEPING</w:t>
            </w:r>
            <w:r w:rsidR="003C501D">
              <w:rPr>
                <w:noProof/>
                <w:webHidden/>
              </w:rPr>
              <w:tab/>
            </w:r>
            <w:r w:rsidR="003C501D">
              <w:rPr>
                <w:noProof/>
                <w:webHidden/>
              </w:rPr>
              <w:fldChar w:fldCharType="begin"/>
            </w:r>
            <w:r w:rsidR="003C501D">
              <w:rPr>
                <w:noProof/>
                <w:webHidden/>
              </w:rPr>
              <w:instrText xml:space="preserve"> PAGEREF _Toc174629001 \h </w:instrText>
            </w:r>
            <w:r w:rsidR="003C501D">
              <w:rPr>
                <w:noProof/>
                <w:webHidden/>
              </w:rPr>
            </w:r>
            <w:r w:rsidR="003C501D">
              <w:rPr>
                <w:noProof/>
                <w:webHidden/>
              </w:rPr>
              <w:fldChar w:fldCharType="separate"/>
            </w:r>
            <w:r w:rsidR="003C501D">
              <w:rPr>
                <w:noProof/>
                <w:webHidden/>
              </w:rPr>
              <w:t>13</w:t>
            </w:r>
            <w:r w:rsidR="003C501D">
              <w:rPr>
                <w:noProof/>
                <w:webHidden/>
              </w:rPr>
              <w:fldChar w:fldCharType="end"/>
            </w:r>
          </w:hyperlink>
        </w:p>
        <w:p w:rsidRPr="00BD20ED" w:rsidR="00266D56" w:rsidP="00266D56" w:rsidRDefault="00266D56" w14:paraId="286E30F0" w14:textId="12CBE44E">
          <w:pPr>
            <w:pStyle w:val="NEW"/>
            <w:rPr>
              <w:rStyle w:val="arial12"/>
              <w:sz w:val="28"/>
              <w:szCs w:val="28"/>
            </w:rPr>
          </w:pPr>
          <w:r w:rsidRPr="00EF296F">
            <w:rPr>
              <w:rStyle w:val="arial12"/>
              <w:rFonts w:asciiTheme="minorHAnsi" w:hAnsiTheme="minorHAnsi"/>
              <w:sz w:val="28"/>
              <w:szCs w:val="28"/>
            </w:rPr>
            <w:fldChar w:fldCharType="end"/>
          </w:r>
        </w:p>
      </w:sdtContent>
    </w:sdt>
    <w:p w:rsidR="00C85B48" w:rsidP="00200FC2" w:rsidRDefault="00E75D01" w14:paraId="64511A07" w14:textId="1454EDE6">
      <w:pPr>
        <w:pStyle w:val="Heading1"/>
        <w:rPr>
          <w:color w:val="0070C0"/>
        </w:rPr>
      </w:pPr>
      <w:r w:rsidRPr="00BD6A3B">
        <w:rPr>
          <w:sz w:val="32"/>
          <w:szCs w:val="32"/>
        </w:rPr>
        <w:br w:type="page"/>
      </w:r>
      <w:bookmarkStart w:name="Approved" w:id="1"/>
      <w:bookmarkStart w:name="_Toc530130780" w:id="2"/>
      <w:bookmarkEnd w:id="1"/>
      <w:r w:rsidRPr="00F31AE2" w:rsidR="00F31AE2">
        <w:rPr>
          <w:rFonts w:asciiTheme="minorHAnsi" w:hAnsiTheme="minorHAnsi" w:cstheme="minorHAnsi"/>
          <w:sz w:val="24"/>
          <w:szCs w:val="24"/>
        </w:rPr>
        <w:lastRenderedPageBreak/>
        <w:t xml:space="preserve"> </w:t>
      </w:r>
      <w:bookmarkStart w:name="_Toc174628992" w:id="3"/>
      <w:r w:rsidRPr="00200FC2" w:rsidR="007C2895">
        <w:rPr>
          <w:color w:val="0070C0"/>
        </w:rPr>
        <w:t>A</w:t>
      </w:r>
      <w:r w:rsidRPr="00200FC2" w:rsidR="00434F1C">
        <w:rPr>
          <w:color w:val="0070C0"/>
        </w:rPr>
        <w:t>PPROVED AMENDMENTS TO THE QUALITY AND STANDARDS FRAMEWORK</w:t>
      </w:r>
      <w:bookmarkStart w:name="_STUDENT_INFORMATION" w:id="4"/>
      <w:bookmarkStart w:name="_Toc48553176" w:id="5"/>
      <w:bookmarkEnd w:id="2"/>
      <w:bookmarkEnd w:id="4"/>
      <w:bookmarkEnd w:id="3"/>
      <w:bookmarkEnd w:id="0"/>
    </w:p>
    <w:p w:rsidR="00446E79" w:rsidP="00446E79" w:rsidRDefault="00446E79" w14:paraId="6ED0B614" w14:textId="77777777">
      <w:pPr>
        <w:pStyle w:val="Heading2"/>
        <w:rPr>
          <w:lang w:eastAsia="en-US"/>
        </w:rPr>
      </w:pPr>
    </w:p>
    <w:p w:rsidRPr="001D26D8" w:rsidR="00446E79" w:rsidP="00446E79" w:rsidRDefault="00446E79" w14:paraId="338A3268" w14:textId="77777777">
      <w:pPr>
        <w:keepNext/>
        <w:outlineLvl w:val="1"/>
        <w:rPr>
          <w:rFonts w:cs="Arial"/>
          <w:b/>
          <w:bCs/>
          <w:iCs/>
          <w:color w:val="0070C0"/>
          <w:szCs w:val="28"/>
        </w:rPr>
      </w:pPr>
      <w:bookmarkStart w:name="_Toc169006573" w:id="6"/>
      <w:bookmarkStart w:name="_Toc174628993" w:id="7"/>
      <w:r>
        <w:rPr>
          <w:rFonts w:cs="Arial"/>
          <w:b/>
          <w:bCs/>
          <w:iCs/>
          <w:color w:val="0070C0"/>
          <w:szCs w:val="28"/>
        </w:rPr>
        <w:t>ASSESSMENT</w:t>
      </w:r>
      <w:bookmarkEnd w:id="6"/>
      <w:bookmarkEnd w:id="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446E79" w:rsidTr="00387984" w14:paraId="79248CE7" w14:textId="77777777">
        <w:trPr>
          <w:tblHeader/>
        </w:trPr>
        <w:tc>
          <w:tcPr>
            <w:tcW w:w="3470" w:type="dxa"/>
            <w:shd w:val="clear" w:color="auto" w:fill="D0CECE"/>
          </w:tcPr>
          <w:p w:rsidRPr="001D26D8" w:rsidR="00446E79" w:rsidP="00387984" w:rsidRDefault="00446E79" w14:paraId="57BC8550"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446E79" w:rsidP="00387984" w:rsidRDefault="00446E79" w14:paraId="76533D7A" w14:textId="77777777">
            <w:pPr>
              <w:jc w:val="center"/>
              <w:rPr>
                <w:rFonts w:cs="Arial"/>
                <w:sz w:val="22"/>
                <w:szCs w:val="22"/>
              </w:rPr>
            </w:pPr>
            <w:r w:rsidRPr="001D26D8">
              <w:rPr>
                <w:b/>
                <w:sz w:val="22"/>
                <w:szCs w:val="22"/>
              </w:rPr>
              <w:t>Details</w:t>
            </w:r>
          </w:p>
        </w:tc>
        <w:tc>
          <w:tcPr>
            <w:tcW w:w="3321" w:type="dxa"/>
            <w:shd w:val="clear" w:color="auto" w:fill="D0CECE"/>
          </w:tcPr>
          <w:p w:rsidRPr="001D26D8" w:rsidR="00446E79" w:rsidP="00387984" w:rsidRDefault="00446E79" w14:paraId="726A7557" w14:textId="77777777">
            <w:pPr>
              <w:jc w:val="center"/>
              <w:rPr>
                <w:color w:val="000000"/>
                <w:sz w:val="22"/>
                <w:szCs w:val="22"/>
              </w:rPr>
            </w:pPr>
            <w:r w:rsidRPr="001D26D8">
              <w:rPr>
                <w:b/>
                <w:sz w:val="22"/>
                <w:szCs w:val="22"/>
              </w:rPr>
              <w:t>Implementation</w:t>
            </w:r>
          </w:p>
        </w:tc>
      </w:tr>
      <w:tr w:rsidRPr="001D26D8" w:rsidR="00446E79" w:rsidTr="00387984" w14:paraId="26212530" w14:textId="77777777">
        <w:tc>
          <w:tcPr>
            <w:tcW w:w="3470" w:type="dxa"/>
            <w:shd w:val="clear" w:color="auto" w:fill="auto"/>
          </w:tcPr>
          <w:p w:rsidR="00446E79" w:rsidP="00387984" w:rsidRDefault="00446E79" w14:paraId="0A3E7554"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 xml:space="preserve">University Code of Practice: Assessment Procedures </w:t>
            </w:r>
          </w:p>
        </w:tc>
        <w:tc>
          <w:tcPr>
            <w:tcW w:w="7157" w:type="dxa"/>
            <w:shd w:val="clear" w:color="auto" w:fill="auto"/>
          </w:tcPr>
          <w:p w:rsidR="00446E79" w:rsidP="00387984" w:rsidRDefault="00446E79" w14:paraId="1927D14A"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 xml:space="preserve">has revised its Code of Practice for Assessment Procedures. </w:t>
            </w:r>
          </w:p>
          <w:p w:rsidR="00446E79" w:rsidP="00387984" w:rsidRDefault="00446E79" w14:paraId="2794B915" w14:textId="77777777">
            <w:pPr>
              <w:jc w:val="left"/>
              <w:rPr>
                <w:rFonts w:ascii="Calibri" w:hAnsi="Calibri" w:cs="Calibri"/>
                <w:sz w:val="24"/>
              </w:rPr>
            </w:pPr>
          </w:p>
          <w:p w:rsidR="00446E79" w:rsidP="00387984" w:rsidRDefault="00446E79" w14:paraId="0F8D331F" w14:textId="77777777">
            <w:pPr>
              <w:jc w:val="left"/>
              <w:rPr>
                <w:rFonts w:ascii="Calibri" w:hAnsi="Calibri" w:cs="Calibri"/>
                <w:color w:val="000000"/>
                <w:sz w:val="24"/>
              </w:rPr>
            </w:pPr>
            <w:r>
              <w:rPr>
                <w:rFonts w:ascii="Calibri" w:hAnsi="Calibri" w:cs="Calibri"/>
                <w:color w:val="000000"/>
                <w:sz w:val="24"/>
              </w:rPr>
              <w:t xml:space="preserve">This is a minor revision </w:t>
            </w:r>
            <w:r w:rsidRPr="001B4A7D">
              <w:rPr>
                <w:rFonts w:ascii="Calibri" w:hAnsi="Calibri" w:cs="Calibri"/>
                <w:color w:val="000000"/>
                <w:sz w:val="24"/>
              </w:rPr>
              <w:t>to re-introduce an amendment to ensure that work d</w:t>
            </w:r>
            <w:r>
              <w:rPr>
                <w:rFonts w:ascii="Calibri" w:hAnsi="Calibri" w:cs="Calibri"/>
                <w:color w:val="000000"/>
                <w:sz w:val="24"/>
              </w:rPr>
              <w:t>oes</w:t>
            </w:r>
            <w:r w:rsidRPr="001B4A7D">
              <w:rPr>
                <w:rFonts w:ascii="Calibri" w:hAnsi="Calibri" w:cs="Calibri"/>
                <w:color w:val="000000"/>
                <w:sz w:val="24"/>
              </w:rPr>
              <w:t xml:space="preserve"> not fail due to the application of late penalties </w:t>
            </w:r>
            <w:r w:rsidRPr="00D8636D">
              <w:rPr>
                <w:rFonts w:ascii="Calibri" w:hAnsi="Calibri" w:cs="Calibri"/>
                <w:color w:val="000000"/>
                <w:sz w:val="24"/>
              </w:rPr>
              <w:t>alone (para 9.3d i and ii).</w:t>
            </w:r>
          </w:p>
          <w:p w:rsidR="00446E79" w:rsidP="00387984" w:rsidRDefault="00446E79" w14:paraId="36EEF398" w14:textId="77777777">
            <w:pPr>
              <w:jc w:val="left"/>
              <w:rPr>
                <w:rFonts w:ascii="Calibri" w:hAnsi="Calibri" w:cs="Calibri"/>
                <w:sz w:val="24"/>
              </w:rPr>
            </w:pPr>
          </w:p>
          <w:p w:rsidR="00446E79" w:rsidP="00387984" w:rsidRDefault="00446E79" w14:paraId="0803E510"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00446E79" w:rsidP="00387984" w:rsidRDefault="00446E79" w14:paraId="18775E4C" w14:textId="77777777">
            <w:pPr>
              <w:jc w:val="right"/>
              <w:rPr>
                <w:rFonts w:ascii="Calibri" w:hAnsi="Calibri" w:cs="Calibri"/>
                <w:sz w:val="24"/>
              </w:rPr>
            </w:pP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387984" w:rsidRDefault="00446E79" w14:paraId="36694807"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Pr="00EE7B95">
              <w:rPr>
                <w:rFonts w:ascii="Calibri" w:hAnsi="Calibri" w:cs="Calibri"/>
                <w:b/>
                <w:bCs/>
                <w:color w:val="000000"/>
                <w:sz w:val="24"/>
              </w:rPr>
              <w:t>Sept 2024</w:t>
            </w:r>
          </w:p>
          <w:p w:rsidRPr="00B16CE8" w:rsidR="00446E79" w:rsidP="00387984" w:rsidRDefault="00446E79" w14:paraId="7FFCF3C7"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446E79" w:rsidTr="00387984" w14:paraId="7A932A8A" w14:textId="77777777">
        <w:tc>
          <w:tcPr>
            <w:tcW w:w="3470" w:type="dxa"/>
            <w:shd w:val="clear" w:color="auto" w:fill="auto"/>
          </w:tcPr>
          <w:p w:rsidR="00446E79" w:rsidP="00387984" w:rsidRDefault="00446E79" w14:paraId="609C5AB5"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Regulations governing Academic Misconduct</w:t>
            </w:r>
          </w:p>
        </w:tc>
        <w:tc>
          <w:tcPr>
            <w:tcW w:w="7157" w:type="dxa"/>
            <w:shd w:val="clear" w:color="auto" w:fill="auto"/>
          </w:tcPr>
          <w:p w:rsidR="00446E79" w:rsidP="00387984" w:rsidRDefault="00446E79" w14:paraId="6950BB67" w14:textId="77777777">
            <w:pPr>
              <w:jc w:val="left"/>
              <w:rPr>
                <w:rFonts w:ascii="Calibri" w:hAnsi="Calibri" w:cs="Calibri"/>
                <w:sz w:val="24"/>
              </w:rPr>
            </w:pPr>
            <w:r w:rsidRPr="001B4A7D">
              <w:rPr>
                <w:rFonts w:ascii="Calibri" w:hAnsi="Calibri" w:cs="Calibri"/>
                <w:sz w:val="24"/>
              </w:rPr>
              <w:t xml:space="preserve">As part of the UoH </w:t>
            </w:r>
            <w:r>
              <w:rPr>
                <w:rFonts w:ascii="Calibri" w:hAnsi="Calibri" w:cs="Calibri"/>
                <w:sz w:val="24"/>
              </w:rPr>
              <w:t xml:space="preserve">5-year </w:t>
            </w:r>
            <w:r w:rsidRPr="001B4A7D">
              <w:rPr>
                <w:rFonts w:ascii="Calibri" w:hAnsi="Calibri" w:cs="Calibri"/>
                <w:sz w:val="24"/>
              </w:rPr>
              <w:t xml:space="preserve">cyclical review of its quality and standards framework, </w:t>
            </w:r>
            <w:r>
              <w:rPr>
                <w:rFonts w:ascii="Calibri" w:hAnsi="Calibri" w:cs="Calibri"/>
                <w:sz w:val="24"/>
              </w:rPr>
              <w:t>t</w:t>
            </w:r>
            <w:r w:rsidRPr="005249C2">
              <w:rPr>
                <w:rFonts w:ascii="Calibri" w:hAnsi="Calibri" w:cs="Calibri"/>
                <w:sz w:val="24"/>
              </w:rPr>
              <w:t>he University has revised its</w:t>
            </w:r>
            <w:r>
              <w:t xml:space="preserve"> </w:t>
            </w:r>
            <w:r w:rsidRPr="005249C2">
              <w:rPr>
                <w:rFonts w:ascii="Calibri" w:hAnsi="Calibri" w:cs="Calibri"/>
                <w:sz w:val="24"/>
              </w:rPr>
              <w:t>Regulations governing Academic Misconduct</w:t>
            </w:r>
            <w:r>
              <w:rPr>
                <w:rFonts w:ascii="Calibri" w:hAnsi="Calibri" w:cs="Calibri"/>
                <w:sz w:val="24"/>
              </w:rPr>
              <w:t>.</w:t>
            </w:r>
          </w:p>
          <w:p w:rsidR="00446E79" w:rsidP="00387984" w:rsidRDefault="00446E79" w14:paraId="59323C9A" w14:textId="77777777">
            <w:pPr>
              <w:jc w:val="left"/>
              <w:rPr>
                <w:rFonts w:ascii="Calibri" w:hAnsi="Calibri" w:cs="Calibri"/>
                <w:sz w:val="24"/>
              </w:rPr>
            </w:pPr>
          </w:p>
          <w:p w:rsidRPr="001B4A7D" w:rsidR="00446E79" w:rsidP="00387984" w:rsidRDefault="00446E79" w14:paraId="774BC625" w14:textId="77777777">
            <w:pPr>
              <w:jc w:val="left"/>
              <w:rPr>
                <w:rFonts w:ascii="Calibri" w:hAnsi="Calibri" w:cs="Calibri"/>
                <w:sz w:val="24"/>
              </w:rPr>
            </w:pPr>
            <w:r w:rsidRPr="001B4A7D">
              <w:rPr>
                <w:rFonts w:ascii="Calibri" w:hAnsi="Calibri" w:cs="Calibri"/>
                <w:sz w:val="24"/>
              </w:rPr>
              <w:t>The regulations ha</w:t>
            </w:r>
            <w:r>
              <w:rPr>
                <w:rFonts w:ascii="Calibri" w:hAnsi="Calibri" w:cs="Calibri"/>
                <w:sz w:val="24"/>
              </w:rPr>
              <w:t>ve</w:t>
            </w:r>
            <w:r w:rsidRPr="001B4A7D">
              <w:rPr>
                <w:rFonts w:ascii="Calibri" w:hAnsi="Calibri" w:cs="Calibri"/>
                <w:sz w:val="24"/>
              </w:rPr>
              <w:t xml:space="preserve"> been significantly revised to ensure additional clarity. Revisions include but </w:t>
            </w:r>
            <w:r>
              <w:rPr>
                <w:rFonts w:ascii="Calibri" w:hAnsi="Calibri" w:cs="Calibri"/>
                <w:sz w:val="24"/>
              </w:rPr>
              <w:t>a</w:t>
            </w:r>
            <w:r w:rsidRPr="001B4A7D">
              <w:rPr>
                <w:rFonts w:ascii="Calibri" w:hAnsi="Calibri" w:cs="Calibri"/>
                <w:sz w:val="24"/>
              </w:rPr>
              <w:t xml:space="preserve">re not limited to: </w:t>
            </w:r>
          </w:p>
          <w:p w:rsidR="00446E79" w:rsidP="009041E6" w:rsidRDefault="00446E79" w14:paraId="30FD705B" w14:textId="77777777">
            <w:pPr>
              <w:pStyle w:val="ListParagraph"/>
              <w:numPr>
                <w:ilvl w:val="0"/>
                <w:numId w:val="4"/>
              </w:numPr>
              <w:jc w:val="left"/>
              <w:rPr>
                <w:rFonts w:ascii="Calibri" w:hAnsi="Calibri" w:cs="Calibri"/>
                <w:sz w:val="24"/>
              </w:rPr>
            </w:pPr>
            <w:r w:rsidRPr="001B4A7D">
              <w:rPr>
                <w:rFonts w:ascii="Calibri" w:hAnsi="Calibri" w:cs="Calibri"/>
                <w:sz w:val="24"/>
              </w:rPr>
              <w:t>clarity of definitions</w:t>
            </w:r>
            <w:r>
              <w:rPr>
                <w:rFonts w:ascii="Calibri" w:hAnsi="Calibri" w:cs="Calibri"/>
                <w:sz w:val="24"/>
              </w:rPr>
              <w:t xml:space="preserve"> (2).</w:t>
            </w:r>
          </w:p>
          <w:p w:rsidR="00446E79" w:rsidP="009041E6" w:rsidRDefault="00446E79" w14:paraId="05CC10BA" w14:textId="77777777">
            <w:pPr>
              <w:pStyle w:val="ListParagraph"/>
              <w:numPr>
                <w:ilvl w:val="0"/>
                <w:numId w:val="4"/>
              </w:numPr>
              <w:jc w:val="left"/>
              <w:rPr>
                <w:rFonts w:ascii="Calibri" w:hAnsi="Calibri" w:cs="Calibri"/>
                <w:sz w:val="24"/>
              </w:rPr>
            </w:pPr>
            <w:r w:rsidRPr="001B4A7D">
              <w:rPr>
                <w:rFonts w:ascii="Calibri" w:hAnsi="Calibri" w:cs="Calibri"/>
                <w:sz w:val="24"/>
              </w:rPr>
              <w:t>inclusion of false authorship (including AI)</w:t>
            </w:r>
            <w:r>
              <w:rPr>
                <w:rFonts w:ascii="Calibri" w:hAnsi="Calibri" w:cs="Calibri"/>
                <w:sz w:val="24"/>
              </w:rPr>
              <w:t xml:space="preserve"> (2.7).</w:t>
            </w:r>
          </w:p>
          <w:p w:rsidR="00446E79" w:rsidP="009041E6" w:rsidRDefault="00446E79" w14:paraId="00AA75DB" w14:textId="77777777">
            <w:pPr>
              <w:pStyle w:val="ListParagraph"/>
              <w:numPr>
                <w:ilvl w:val="0"/>
                <w:numId w:val="4"/>
              </w:numPr>
              <w:jc w:val="left"/>
              <w:rPr>
                <w:rFonts w:ascii="Calibri" w:hAnsi="Calibri" w:cs="Calibri"/>
                <w:sz w:val="24"/>
              </w:rPr>
            </w:pPr>
            <w:r w:rsidRPr="001B4A7D">
              <w:rPr>
                <w:rFonts w:ascii="Calibri" w:hAnsi="Calibri" w:cs="Calibri"/>
                <w:sz w:val="24"/>
              </w:rPr>
              <w:t>inclusion of research ethical misconduct</w:t>
            </w:r>
            <w:r>
              <w:rPr>
                <w:rFonts w:ascii="Calibri" w:hAnsi="Calibri" w:cs="Calibri"/>
                <w:sz w:val="24"/>
              </w:rPr>
              <w:t xml:space="preserve"> (2.9).</w:t>
            </w:r>
          </w:p>
          <w:p w:rsidR="00446E79" w:rsidP="009041E6" w:rsidRDefault="00446E79" w14:paraId="26781493" w14:textId="77777777">
            <w:pPr>
              <w:pStyle w:val="ListParagraph"/>
              <w:numPr>
                <w:ilvl w:val="0"/>
                <w:numId w:val="4"/>
              </w:numPr>
              <w:jc w:val="left"/>
              <w:rPr>
                <w:rFonts w:ascii="Calibri" w:hAnsi="Calibri" w:cs="Calibri"/>
                <w:sz w:val="24"/>
              </w:rPr>
            </w:pPr>
            <w:r w:rsidRPr="001B4A7D">
              <w:rPr>
                <w:rFonts w:ascii="Calibri" w:hAnsi="Calibri" w:cs="Calibri"/>
                <w:sz w:val="24"/>
              </w:rPr>
              <w:t>makes explicit where regulations differ to research degrees</w:t>
            </w:r>
            <w:r>
              <w:rPr>
                <w:rFonts w:ascii="Calibri" w:hAnsi="Calibri" w:cs="Calibri"/>
                <w:sz w:val="24"/>
              </w:rPr>
              <w:t>.</w:t>
            </w:r>
          </w:p>
          <w:p w:rsidR="00446E79" w:rsidP="009041E6" w:rsidRDefault="00446E79" w14:paraId="67B9FFDA" w14:textId="77777777">
            <w:pPr>
              <w:pStyle w:val="ListParagraph"/>
              <w:numPr>
                <w:ilvl w:val="0"/>
                <w:numId w:val="4"/>
              </w:numPr>
              <w:jc w:val="left"/>
              <w:rPr>
                <w:rFonts w:ascii="Calibri" w:hAnsi="Calibri" w:cs="Calibri"/>
                <w:sz w:val="24"/>
              </w:rPr>
            </w:pPr>
            <w:r w:rsidRPr="001B4A7D">
              <w:rPr>
                <w:rFonts w:ascii="Calibri" w:hAnsi="Calibri" w:cs="Calibri"/>
                <w:sz w:val="24"/>
              </w:rPr>
              <w:t>reintroduces a developmental caution</w:t>
            </w:r>
            <w:r>
              <w:rPr>
                <w:rFonts w:ascii="Calibri" w:hAnsi="Calibri" w:cs="Calibri"/>
                <w:sz w:val="24"/>
              </w:rPr>
              <w:t xml:space="preserve"> (5.4).</w:t>
            </w:r>
          </w:p>
          <w:p w:rsidR="00446E79" w:rsidP="009041E6" w:rsidRDefault="00446E79" w14:paraId="6599393A" w14:textId="77777777">
            <w:pPr>
              <w:pStyle w:val="ListParagraph"/>
              <w:numPr>
                <w:ilvl w:val="0"/>
                <w:numId w:val="4"/>
              </w:numPr>
              <w:jc w:val="left"/>
              <w:rPr>
                <w:rFonts w:ascii="Calibri" w:hAnsi="Calibri" w:cs="Calibri"/>
                <w:sz w:val="24"/>
              </w:rPr>
            </w:pPr>
            <w:r w:rsidRPr="001B4A7D">
              <w:rPr>
                <w:rFonts w:ascii="Calibri" w:hAnsi="Calibri" w:cs="Calibri"/>
                <w:sz w:val="24"/>
              </w:rPr>
              <w:t xml:space="preserve">references the UoH Academic Integrity Course </w:t>
            </w:r>
            <w:r>
              <w:rPr>
                <w:rFonts w:ascii="Calibri" w:hAnsi="Calibri" w:cs="Calibri"/>
                <w:sz w:val="24"/>
              </w:rPr>
              <w:t>(5.5).</w:t>
            </w:r>
          </w:p>
          <w:p w:rsidR="00446E79" w:rsidP="009041E6" w:rsidRDefault="00446E79" w14:paraId="4235654C" w14:textId="77777777">
            <w:pPr>
              <w:pStyle w:val="ListParagraph"/>
              <w:numPr>
                <w:ilvl w:val="0"/>
                <w:numId w:val="4"/>
              </w:numPr>
              <w:jc w:val="left"/>
              <w:rPr>
                <w:rFonts w:ascii="Calibri" w:hAnsi="Calibri" w:cs="Calibri"/>
                <w:sz w:val="24"/>
              </w:rPr>
            </w:pPr>
            <w:r w:rsidRPr="001B4A7D">
              <w:rPr>
                <w:rFonts w:ascii="Calibri" w:hAnsi="Calibri" w:cs="Calibri"/>
                <w:sz w:val="24"/>
              </w:rPr>
              <w:t>penalties rephrased for clarity</w:t>
            </w:r>
            <w:r>
              <w:rPr>
                <w:rFonts w:ascii="Calibri" w:hAnsi="Calibri" w:cs="Calibri"/>
                <w:sz w:val="24"/>
              </w:rPr>
              <w:t xml:space="preserve"> (6).</w:t>
            </w:r>
          </w:p>
          <w:p w:rsidR="00446E79" w:rsidP="009041E6" w:rsidRDefault="00446E79" w14:paraId="157BFEC9" w14:textId="77777777">
            <w:pPr>
              <w:pStyle w:val="ListParagraph"/>
              <w:numPr>
                <w:ilvl w:val="0"/>
                <w:numId w:val="4"/>
              </w:numPr>
              <w:jc w:val="left"/>
              <w:rPr>
                <w:rFonts w:ascii="Calibri" w:hAnsi="Calibri" w:cs="Calibri"/>
                <w:sz w:val="24"/>
              </w:rPr>
            </w:pPr>
            <w:r w:rsidRPr="001B4A7D">
              <w:rPr>
                <w:rFonts w:ascii="Calibri" w:hAnsi="Calibri" w:cs="Calibri"/>
                <w:sz w:val="24"/>
              </w:rPr>
              <w:t>revisions to penalties for research degree provision</w:t>
            </w:r>
            <w:r>
              <w:rPr>
                <w:rFonts w:ascii="Calibri" w:hAnsi="Calibri" w:cs="Calibri"/>
                <w:sz w:val="24"/>
              </w:rPr>
              <w:t xml:space="preserve"> (7).</w:t>
            </w:r>
          </w:p>
          <w:p w:rsidR="00446E79" w:rsidP="009041E6" w:rsidRDefault="00446E79" w14:paraId="50EA2741" w14:textId="77777777">
            <w:pPr>
              <w:pStyle w:val="ListParagraph"/>
              <w:numPr>
                <w:ilvl w:val="0"/>
                <w:numId w:val="4"/>
              </w:numPr>
              <w:jc w:val="left"/>
              <w:rPr>
                <w:rFonts w:ascii="Calibri" w:hAnsi="Calibri" w:cs="Calibri"/>
                <w:sz w:val="24"/>
              </w:rPr>
            </w:pPr>
            <w:r w:rsidRPr="001B4A7D">
              <w:rPr>
                <w:rFonts w:ascii="Calibri" w:hAnsi="Calibri" w:cs="Calibri"/>
                <w:sz w:val="24"/>
              </w:rPr>
              <w:lastRenderedPageBreak/>
              <w:t>revisions to attendance at panel meetings</w:t>
            </w:r>
            <w:r>
              <w:rPr>
                <w:rFonts w:ascii="Calibri" w:hAnsi="Calibri" w:cs="Calibri"/>
                <w:sz w:val="24"/>
              </w:rPr>
              <w:t xml:space="preserve"> (9).</w:t>
            </w:r>
          </w:p>
          <w:p w:rsidRPr="00464876" w:rsidR="00446E79" w:rsidP="009041E6" w:rsidRDefault="00446E79" w14:paraId="41F0D855" w14:textId="77777777">
            <w:pPr>
              <w:pStyle w:val="ListParagraph"/>
              <w:numPr>
                <w:ilvl w:val="0"/>
                <w:numId w:val="4"/>
              </w:numPr>
              <w:jc w:val="left"/>
              <w:rPr>
                <w:rFonts w:ascii="Calibri" w:hAnsi="Calibri" w:cs="Calibri"/>
                <w:sz w:val="24"/>
              </w:rPr>
            </w:pPr>
            <w:r w:rsidRPr="00464876">
              <w:rPr>
                <w:rFonts w:ascii="Calibri" w:hAnsi="Calibri" w:cs="Calibri"/>
                <w:sz w:val="24"/>
              </w:rPr>
              <w:t>3</w:t>
            </w:r>
            <w:r w:rsidRPr="00464876">
              <w:rPr>
                <w:rFonts w:ascii="Calibri" w:hAnsi="Calibri" w:cs="Calibri"/>
                <w:sz w:val="24"/>
                <w:vertAlign w:val="superscript"/>
              </w:rPr>
              <w:t>rd</w:t>
            </w:r>
            <w:r w:rsidRPr="00464876">
              <w:rPr>
                <w:rFonts w:ascii="Calibri" w:hAnsi="Calibri" w:cs="Calibri"/>
                <w:sz w:val="24"/>
              </w:rPr>
              <w:t xml:space="preserve"> party allegations (4.4).</w:t>
            </w:r>
          </w:p>
          <w:p w:rsidRPr="00464876" w:rsidR="00446E79" w:rsidP="009041E6" w:rsidRDefault="00446E79" w14:paraId="4FA8080C" w14:textId="77777777">
            <w:pPr>
              <w:pStyle w:val="ListParagraph"/>
              <w:numPr>
                <w:ilvl w:val="0"/>
                <w:numId w:val="4"/>
              </w:numPr>
              <w:jc w:val="left"/>
              <w:rPr>
                <w:rFonts w:ascii="Calibri" w:hAnsi="Calibri" w:cs="Calibri"/>
                <w:sz w:val="24"/>
              </w:rPr>
            </w:pPr>
            <w:r w:rsidRPr="00464876">
              <w:rPr>
                <w:rFonts w:ascii="Calibri" w:hAnsi="Calibri" w:cs="Calibri"/>
                <w:sz w:val="24"/>
              </w:rPr>
              <w:t>Revoking awards (4.10).</w:t>
            </w:r>
          </w:p>
          <w:p w:rsidRPr="001B4A7D" w:rsidR="00446E79" w:rsidP="00387984" w:rsidRDefault="00446E79" w14:paraId="7C49A606" w14:textId="77777777">
            <w:pPr>
              <w:pStyle w:val="ListParagraph"/>
              <w:jc w:val="left"/>
              <w:rPr>
                <w:rFonts w:ascii="Calibri" w:hAnsi="Calibri" w:cs="Calibri"/>
                <w:sz w:val="24"/>
                <w:highlight w:val="yellow"/>
              </w:rPr>
            </w:pPr>
          </w:p>
          <w:p w:rsidR="00446E79" w:rsidP="00387984" w:rsidRDefault="00446E79" w14:paraId="30732313"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p w:rsidR="00446E79" w:rsidP="00387984" w:rsidRDefault="00446E79" w14:paraId="4C156326" w14:textId="77777777">
            <w:pPr>
              <w:jc w:val="right"/>
              <w:rPr>
                <w:rFonts w:ascii="Calibri" w:hAnsi="Calibri" w:cs="Calibri"/>
                <w:sz w:val="24"/>
              </w:rPr>
            </w:pPr>
            <w:r>
              <w:rPr>
                <w:rFonts w:ascii="Calibri" w:hAnsi="Calibri" w:cs="Calibri"/>
                <w:color w:val="000000"/>
                <w:sz w:val="24"/>
              </w:rPr>
              <w:t>Senate, June 2024</w:t>
            </w:r>
          </w:p>
        </w:tc>
        <w:tc>
          <w:tcPr>
            <w:tcW w:w="3321" w:type="dxa"/>
            <w:shd w:val="clear" w:color="auto" w:fill="auto"/>
          </w:tcPr>
          <w:p w:rsidRPr="00B16CE8" w:rsidR="00446E79" w:rsidP="00387984" w:rsidRDefault="00446E79" w14:paraId="6B897B13"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2024</w:t>
            </w:r>
          </w:p>
          <w:p w:rsidRPr="00B16CE8" w:rsidR="00446E79" w:rsidP="00387984" w:rsidRDefault="00446E79" w14:paraId="144372AE"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446E79" w:rsidTr="00387984" w14:paraId="3D157F94" w14:textId="77777777">
        <w:tc>
          <w:tcPr>
            <w:tcW w:w="3470" w:type="dxa"/>
            <w:shd w:val="clear" w:color="auto" w:fill="auto"/>
          </w:tcPr>
          <w:p w:rsidR="00446E79" w:rsidP="00446E79" w:rsidRDefault="00446E79" w14:paraId="1EF5583E" w14:textId="667B336F">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Code of Practice: Assessment Abroad</w:t>
            </w:r>
          </w:p>
        </w:tc>
        <w:tc>
          <w:tcPr>
            <w:tcW w:w="7157" w:type="dxa"/>
            <w:shd w:val="clear" w:color="auto" w:fill="auto"/>
          </w:tcPr>
          <w:p w:rsidR="00446E79" w:rsidP="00446E79" w:rsidRDefault="00446E79" w14:paraId="1F7111EE"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for Assessment Abroad.</w:t>
            </w:r>
          </w:p>
          <w:p w:rsidRPr="007E253A" w:rsidR="00446E79" w:rsidP="00446E79" w:rsidRDefault="00446E79" w14:paraId="4FC99174" w14:textId="77777777">
            <w:pPr>
              <w:jc w:val="left"/>
              <w:rPr>
                <w:rFonts w:ascii="Calibri" w:hAnsi="Calibri" w:cs="Calibri"/>
                <w:sz w:val="24"/>
              </w:rPr>
            </w:pPr>
          </w:p>
          <w:p w:rsidRPr="007E253A" w:rsidR="00446E79" w:rsidP="00446E79" w:rsidRDefault="00446E79" w14:paraId="02DDFF9D" w14:textId="77777777">
            <w:pPr>
              <w:jc w:val="left"/>
              <w:rPr>
                <w:rFonts w:ascii="Calibri" w:hAnsi="Calibri" w:cs="Calibri"/>
                <w:sz w:val="24"/>
              </w:rPr>
            </w:pPr>
            <w:r w:rsidRPr="007E253A">
              <w:rPr>
                <w:rFonts w:ascii="Calibri" w:hAnsi="Calibri" w:cs="Calibri"/>
                <w:sz w:val="24"/>
              </w:rPr>
              <w:t>Revisions include:</w:t>
            </w:r>
          </w:p>
          <w:p w:rsidR="00446E79" w:rsidP="009041E6" w:rsidRDefault="00446E79" w14:paraId="19A3CFCD" w14:textId="77777777">
            <w:pPr>
              <w:pStyle w:val="ListParagraph"/>
              <w:numPr>
                <w:ilvl w:val="0"/>
                <w:numId w:val="5"/>
              </w:numPr>
              <w:jc w:val="left"/>
              <w:rPr>
                <w:rFonts w:ascii="Calibri" w:hAnsi="Calibri" w:cs="Calibri"/>
                <w:sz w:val="24"/>
              </w:rPr>
            </w:pPr>
            <w:r w:rsidRPr="007E253A">
              <w:rPr>
                <w:rFonts w:ascii="Calibri" w:hAnsi="Calibri" w:cs="Calibri"/>
                <w:sz w:val="24"/>
              </w:rPr>
              <w:t>The timeframe for requesting assessment abroad (3.1).</w:t>
            </w:r>
          </w:p>
          <w:p w:rsidR="00446E79" w:rsidP="009041E6" w:rsidRDefault="00446E79" w14:paraId="3C67B3EE" w14:textId="77777777">
            <w:pPr>
              <w:pStyle w:val="ListParagraph"/>
              <w:numPr>
                <w:ilvl w:val="0"/>
                <w:numId w:val="5"/>
              </w:numPr>
              <w:jc w:val="left"/>
              <w:rPr>
                <w:rFonts w:ascii="Calibri" w:hAnsi="Calibri" w:cs="Calibri"/>
                <w:sz w:val="24"/>
              </w:rPr>
            </w:pPr>
            <w:r w:rsidRPr="007E253A">
              <w:rPr>
                <w:rFonts w:ascii="Calibri" w:hAnsi="Calibri" w:cs="Calibri"/>
                <w:sz w:val="24"/>
              </w:rPr>
              <w:t>The arrangements for assessment abroad (6.7).</w:t>
            </w:r>
          </w:p>
          <w:p w:rsidR="00446E79" w:rsidP="009041E6" w:rsidRDefault="00446E79" w14:paraId="716E94BD" w14:textId="77777777">
            <w:pPr>
              <w:pStyle w:val="ListParagraph"/>
              <w:numPr>
                <w:ilvl w:val="0"/>
                <w:numId w:val="5"/>
              </w:numPr>
              <w:jc w:val="left"/>
              <w:rPr>
                <w:rFonts w:ascii="Calibri" w:hAnsi="Calibri" w:cs="Calibri"/>
                <w:sz w:val="24"/>
              </w:rPr>
            </w:pPr>
            <w:r w:rsidRPr="007E253A">
              <w:rPr>
                <w:rFonts w:ascii="Calibri" w:hAnsi="Calibri" w:cs="Calibri"/>
                <w:sz w:val="24"/>
              </w:rPr>
              <w:t>Requirement for ID (7.2).</w:t>
            </w:r>
          </w:p>
          <w:p w:rsidR="00446E79" w:rsidP="00446E79" w:rsidRDefault="00446E79" w14:paraId="3A4D0A5A" w14:textId="77777777">
            <w:pPr>
              <w:pStyle w:val="ListParagraph"/>
              <w:jc w:val="center"/>
              <w:rPr>
                <w:rFonts w:ascii="Calibri" w:hAnsi="Calibri" w:cs="Calibri"/>
                <w:sz w:val="24"/>
              </w:rPr>
            </w:pPr>
          </w:p>
          <w:p w:rsidR="00446E79" w:rsidP="00446E79" w:rsidRDefault="00446E79" w14:paraId="3892E38E"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1B4A7D" w:rsidR="00446E79" w:rsidP="003C501D" w:rsidRDefault="00446E79" w14:paraId="454713AC" w14:textId="763095A6">
            <w:pPr>
              <w:jc w:val="right"/>
              <w:rPr>
                <w:rFonts w:ascii="Calibri" w:hAnsi="Calibri" w:cs="Calibri"/>
                <w:sz w:val="24"/>
              </w:rPr>
            </w:pPr>
            <w:r>
              <w:rPr>
                <w:rFonts w:ascii="Calibri" w:hAnsi="Calibri" w:cs="Calibri"/>
                <w:sz w:val="24"/>
              </w:rPr>
              <w:t xml:space="preserve">April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446E79" w:rsidRDefault="00446E79" w14:paraId="40EA040E"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Pr="00EE7B95">
              <w:rPr>
                <w:rFonts w:ascii="Calibri" w:hAnsi="Calibri" w:cs="Calibri"/>
                <w:b/>
                <w:bCs/>
                <w:color w:val="000000"/>
                <w:sz w:val="24"/>
              </w:rPr>
              <w:t>Sept 2024</w:t>
            </w:r>
          </w:p>
          <w:p w:rsidRPr="00B16CE8" w:rsidR="00446E79" w:rsidP="00446E79" w:rsidRDefault="00446E79" w14:paraId="52CA7C75" w14:textId="6CAA6593">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446E79" w:rsidTr="00387984" w14:paraId="3475964F" w14:textId="77777777">
        <w:tc>
          <w:tcPr>
            <w:tcW w:w="3470" w:type="dxa"/>
            <w:shd w:val="clear" w:color="auto" w:fill="auto"/>
          </w:tcPr>
          <w:p w:rsidR="00446E79" w:rsidP="00446E79" w:rsidRDefault="00446E79" w14:paraId="49BD2B48" w14:textId="6007A619">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Code of Practice: Recognition of Prior Learning (RPL)</w:t>
            </w:r>
          </w:p>
        </w:tc>
        <w:tc>
          <w:tcPr>
            <w:tcW w:w="7157" w:type="dxa"/>
            <w:shd w:val="clear" w:color="auto" w:fill="auto"/>
          </w:tcPr>
          <w:p w:rsidR="00446E79" w:rsidP="00446E79" w:rsidRDefault="00446E79" w14:paraId="207BE3ED" w14:textId="77777777">
            <w:pPr>
              <w:jc w:val="left"/>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for Recognition of Prior Learning (RPL).</w:t>
            </w:r>
            <w:r>
              <w:t xml:space="preserve"> </w:t>
            </w:r>
          </w:p>
          <w:p w:rsidR="00446E79" w:rsidP="00446E79" w:rsidRDefault="00446E79" w14:paraId="4BE3C294" w14:textId="77777777">
            <w:pPr>
              <w:jc w:val="left"/>
            </w:pPr>
          </w:p>
          <w:p w:rsidRPr="001B4A7D" w:rsidR="00446E79" w:rsidP="00446E79" w:rsidRDefault="00446E79" w14:paraId="7BAC8C8A" w14:textId="77777777">
            <w:pPr>
              <w:jc w:val="left"/>
              <w:rPr>
                <w:rFonts w:ascii="Calibri" w:hAnsi="Calibri" w:cs="Calibri"/>
                <w:sz w:val="24"/>
              </w:rPr>
            </w:pPr>
            <w:r w:rsidRPr="001B4A7D">
              <w:rPr>
                <w:rFonts w:ascii="Calibri" w:hAnsi="Calibri" w:cs="Calibri"/>
                <w:sz w:val="24"/>
              </w:rPr>
              <w:t>The regulations ha</w:t>
            </w:r>
            <w:r>
              <w:rPr>
                <w:rFonts w:ascii="Calibri" w:hAnsi="Calibri" w:cs="Calibri"/>
                <w:sz w:val="24"/>
              </w:rPr>
              <w:t>ve</w:t>
            </w:r>
            <w:r w:rsidRPr="001B4A7D">
              <w:rPr>
                <w:rFonts w:ascii="Calibri" w:hAnsi="Calibri" w:cs="Calibri"/>
                <w:sz w:val="24"/>
              </w:rPr>
              <w:t xml:space="preserve"> been significantly revised to ensure additional clarity. Revisions include but </w:t>
            </w:r>
            <w:r>
              <w:rPr>
                <w:rFonts w:ascii="Calibri" w:hAnsi="Calibri" w:cs="Calibri"/>
                <w:sz w:val="24"/>
              </w:rPr>
              <w:t>a</w:t>
            </w:r>
            <w:r w:rsidRPr="001B4A7D">
              <w:rPr>
                <w:rFonts w:ascii="Calibri" w:hAnsi="Calibri" w:cs="Calibri"/>
                <w:sz w:val="24"/>
              </w:rPr>
              <w:t xml:space="preserve">re not limited to: </w:t>
            </w:r>
          </w:p>
          <w:p w:rsidR="00446E79" w:rsidP="009041E6" w:rsidRDefault="00446E79" w14:paraId="2598961A" w14:textId="77777777">
            <w:pPr>
              <w:pStyle w:val="ListParagraph"/>
              <w:numPr>
                <w:ilvl w:val="0"/>
                <w:numId w:val="6"/>
              </w:numPr>
              <w:jc w:val="left"/>
              <w:rPr>
                <w:rFonts w:ascii="Calibri" w:hAnsi="Calibri" w:cs="Calibri"/>
                <w:sz w:val="24"/>
              </w:rPr>
            </w:pPr>
            <w:r w:rsidRPr="007E253A">
              <w:rPr>
                <w:rFonts w:ascii="Calibri" w:hAnsi="Calibri" w:cs="Calibri"/>
                <w:sz w:val="24"/>
              </w:rPr>
              <w:t xml:space="preserve">Confirms that ‘student’ includes apprentices, trainees and other learners (1.3).  </w:t>
            </w:r>
          </w:p>
          <w:p w:rsidR="00446E79" w:rsidP="009041E6" w:rsidRDefault="00446E79" w14:paraId="69C3229C" w14:textId="77777777">
            <w:pPr>
              <w:pStyle w:val="ListParagraph"/>
              <w:numPr>
                <w:ilvl w:val="0"/>
                <w:numId w:val="6"/>
              </w:numPr>
              <w:jc w:val="left"/>
              <w:rPr>
                <w:rFonts w:ascii="Calibri" w:hAnsi="Calibri" w:cs="Calibri"/>
                <w:sz w:val="24"/>
              </w:rPr>
            </w:pPr>
            <w:r w:rsidRPr="007E253A">
              <w:rPr>
                <w:rFonts w:ascii="Calibri" w:hAnsi="Calibri" w:cs="Calibri"/>
                <w:sz w:val="24"/>
              </w:rPr>
              <w:t>Highlights potential additional limitations where a programme is regulated (4.2).</w:t>
            </w:r>
          </w:p>
          <w:p w:rsidR="00446E79" w:rsidP="009041E6" w:rsidRDefault="00446E79" w14:paraId="7E13993A" w14:textId="77777777">
            <w:pPr>
              <w:pStyle w:val="ListParagraph"/>
              <w:numPr>
                <w:ilvl w:val="0"/>
                <w:numId w:val="6"/>
              </w:numPr>
              <w:jc w:val="left"/>
              <w:rPr>
                <w:rFonts w:ascii="Calibri" w:hAnsi="Calibri" w:cs="Calibri"/>
                <w:sz w:val="24"/>
              </w:rPr>
            </w:pPr>
            <w:r w:rsidRPr="007E253A">
              <w:rPr>
                <w:rFonts w:ascii="Calibri" w:hAnsi="Calibri" w:cs="Calibri"/>
                <w:sz w:val="24"/>
              </w:rPr>
              <w:t>Amendments to RPL maxima table.</w:t>
            </w:r>
          </w:p>
          <w:p w:rsidR="00446E79" w:rsidP="009041E6" w:rsidRDefault="00446E79" w14:paraId="50EA4F1D" w14:textId="77777777">
            <w:pPr>
              <w:pStyle w:val="ListParagraph"/>
              <w:numPr>
                <w:ilvl w:val="0"/>
                <w:numId w:val="6"/>
              </w:numPr>
              <w:jc w:val="left"/>
              <w:rPr>
                <w:rFonts w:ascii="Calibri" w:hAnsi="Calibri" w:cs="Calibri"/>
                <w:sz w:val="24"/>
              </w:rPr>
            </w:pPr>
            <w:r w:rsidRPr="007E253A">
              <w:rPr>
                <w:rFonts w:ascii="Calibri" w:hAnsi="Calibri" w:cs="Calibri"/>
                <w:sz w:val="24"/>
              </w:rPr>
              <w:lastRenderedPageBreak/>
              <w:t>Re-enforces the requirement for specialist input to decisions relating to applicants for regulated programmes (6.3).</w:t>
            </w:r>
          </w:p>
          <w:p w:rsidRPr="007E253A" w:rsidR="00446E79" w:rsidP="009041E6" w:rsidRDefault="00446E79" w14:paraId="47E9EDEA" w14:textId="77777777">
            <w:pPr>
              <w:pStyle w:val="ListParagraph"/>
              <w:numPr>
                <w:ilvl w:val="0"/>
                <w:numId w:val="6"/>
              </w:numPr>
              <w:jc w:val="left"/>
              <w:rPr>
                <w:rFonts w:ascii="Calibri" w:hAnsi="Calibri" w:cs="Calibri"/>
                <w:sz w:val="24"/>
              </w:rPr>
            </w:pPr>
            <w:r w:rsidRPr="007E253A">
              <w:rPr>
                <w:rFonts w:ascii="Calibri" w:hAnsi="Calibri" w:cs="Calibri"/>
                <w:sz w:val="24"/>
              </w:rPr>
              <w:t>Introduces a section on fraudulent applications (6.16-6.17)</w:t>
            </w:r>
          </w:p>
          <w:p w:rsidR="00446E79" w:rsidP="00446E79" w:rsidRDefault="00446E79" w14:paraId="745916CD" w14:textId="77777777">
            <w:pPr>
              <w:pStyle w:val="ListParagraph"/>
              <w:jc w:val="right"/>
              <w:rPr>
                <w:rFonts w:ascii="Calibri" w:hAnsi="Calibri" w:cs="Calibri"/>
                <w:sz w:val="24"/>
              </w:rPr>
            </w:pPr>
          </w:p>
          <w:p w:rsidR="00446E79" w:rsidP="00446E79" w:rsidRDefault="00446E79" w14:paraId="18CCACCA"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1B4A7D" w:rsidR="00446E79" w:rsidP="003C501D" w:rsidRDefault="00446E79" w14:paraId="793242D8" w14:textId="7F0D6DA9">
            <w:pPr>
              <w:jc w:val="right"/>
              <w:rPr>
                <w:rFonts w:ascii="Calibri" w:hAnsi="Calibri" w:cs="Calibri"/>
                <w:sz w:val="24"/>
              </w:rPr>
            </w:pPr>
            <w:r>
              <w:rPr>
                <w:rFonts w:ascii="Calibri" w:hAnsi="Calibri" w:cs="Calibri"/>
                <w:sz w:val="24"/>
              </w:rPr>
              <w:t xml:space="preserve">April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446E79" w:rsidRDefault="00446E79" w14:paraId="4134FA02"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w:t>
            </w:r>
            <w:r>
              <w:rPr>
                <w:rFonts w:ascii="Calibri" w:hAnsi="Calibri" w:cs="Calibri"/>
                <w:b/>
                <w:bCs/>
                <w:color w:val="000000"/>
                <w:sz w:val="24"/>
              </w:rPr>
              <w:t>2</w:t>
            </w:r>
            <w:r w:rsidRPr="00EE7B95">
              <w:rPr>
                <w:rFonts w:ascii="Calibri" w:hAnsi="Calibri" w:cs="Calibri"/>
                <w:b/>
                <w:bCs/>
                <w:color w:val="000000"/>
                <w:sz w:val="24"/>
              </w:rPr>
              <w:t>4</w:t>
            </w:r>
          </w:p>
          <w:p w:rsidRPr="00B16CE8" w:rsidR="00446E79" w:rsidP="00446E79" w:rsidRDefault="00446E79" w14:paraId="183B4292" w14:textId="28680442">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446E79" w:rsidP="00446E79" w:rsidRDefault="00446E79" w14:paraId="30A98611" w14:textId="77777777">
      <w:pPr>
        <w:pStyle w:val="Heading4"/>
        <w:numPr>
          <w:ilvl w:val="0"/>
          <w:numId w:val="0"/>
        </w:numPr>
        <w:ind w:left="567"/>
        <w:rPr>
          <w:lang w:eastAsia="en-US"/>
        </w:rPr>
      </w:pPr>
    </w:p>
    <w:p w:rsidRPr="00657B18" w:rsidR="00446E79" w:rsidP="00446E79" w:rsidRDefault="00446E79" w14:paraId="427EE726" w14:textId="77777777">
      <w:pPr>
        <w:keepNext/>
        <w:outlineLvl w:val="1"/>
        <w:rPr>
          <w:rFonts w:cs="Arial"/>
          <w:bCs/>
          <w:iCs/>
          <w:color w:val="0070C0"/>
          <w:sz w:val="24"/>
        </w:rPr>
      </w:pPr>
      <w:bookmarkStart w:name="_Toc169006574" w:id="8"/>
      <w:bookmarkStart w:name="_Toc174628994" w:id="9"/>
      <w:r>
        <w:rPr>
          <w:rFonts w:cs="Arial"/>
          <w:b/>
          <w:bCs/>
          <w:iCs/>
          <w:color w:val="0070C0"/>
          <w:sz w:val="24"/>
        </w:rPr>
        <w:t>COLLABORATIVE PROVISION</w:t>
      </w:r>
      <w:bookmarkEnd w:id="8"/>
      <w:bookmarkEnd w:id="9"/>
    </w:p>
    <w:p w:rsidRPr="00657B18" w:rsidR="00446E79" w:rsidP="00446E79" w:rsidRDefault="00446E79" w14:paraId="19767333"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657B18" w:rsidR="00446E79" w:rsidTr="00387984" w14:paraId="0203BB4E" w14:textId="77777777">
        <w:tc>
          <w:tcPr>
            <w:tcW w:w="3539" w:type="dxa"/>
            <w:shd w:val="clear" w:color="auto" w:fill="D0CECE"/>
            <w:vAlign w:val="center"/>
          </w:tcPr>
          <w:p w:rsidRPr="00657B18" w:rsidR="00446E79" w:rsidP="00387984" w:rsidRDefault="00446E79" w14:paraId="702E2F8F" w14:textId="77777777">
            <w:pPr>
              <w:jc w:val="center"/>
              <w:rPr>
                <w:rFonts w:cs="Arial"/>
                <w:b/>
                <w:bCs/>
                <w:sz w:val="22"/>
                <w:szCs w:val="22"/>
              </w:rPr>
            </w:pPr>
            <w:r w:rsidRPr="00657B18">
              <w:rPr>
                <w:rFonts w:cs="Arial"/>
                <w:b/>
                <w:bCs/>
                <w:sz w:val="22"/>
                <w:szCs w:val="22"/>
              </w:rPr>
              <w:t>Quality Handbook</w:t>
            </w:r>
          </w:p>
        </w:tc>
        <w:tc>
          <w:tcPr>
            <w:tcW w:w="7088" w:type="dxa"/>
            <w:shd w:val="clear" w:color="auto" w:fill="D0CECE"/>
            <w:vAlign w:val="center"/>
          </w:tcPr>
          <w:p w:rsidRPr="00657B18" w:rsidR="00446E79" w:rsidP="00387984" w:rsidRDefault="00446E79" w14:paraId="36E37E74" w14:textId="77777777">
            <w:pPr>
              <w:jc w:val="center"/>
              <w:rPr>
                <w:b/>
                <w:bCs/>
                <w:color w:val="000000"/>
                <w:sz w:val="22"/>
                <w:szCs w:val="22"/>
              </w:rPr>
            </w:pPr>
            <w:r w:rsidRPr="00657B18">
              <w:rPr>
                <w:rFonts w:cs="Arial"/>
                <w:b/>
                <w:bCs/>
                <w:sz w:val="22"/>
                <w:szCs w:val="22"/>
              </w:rPr>
              <w:t xml:space="preserve">Details </w:t>
            </w:r>
          </w:p>
        </w:tc>
        <w:tc>
          <w:tcPr>
            <w:tcW w:w="3321" w:type="dxa"/>
            <w:shd w:val="clear" w:color="auto" w:fill="D0CECE"/>
            <w:vAlign w:val="center"/>
          </w:tcPr>
          <w:p w:rsidRPr="00657B18" w:rsidR="00446E79" w:rsidP="00387984" w:rsidRDefault="00446E79" w14:paraId="50770B92" w14:textId="77777777">
            <w:pPr>
              <w:jc w:val="center"/>
              <w:rPr>
                <w:b/>
                <w:bCs/>
                <w:color w:val="000000"/>
                <w:sz w:val="22"/>
                <w:szCs w:val="22"/>
              </w:rPr>
            </w:pPr>
            <w:r w:rsidRPr="00657B18">
              <w:rPr>
                <w:b/>
                <w:bCs/>
                <w:color w:val="000000"/>
                <w:sz w:val="22"/>
                <w:szCs w:val="22"/>
              </w:rPr>
              <w:t xml:space="preserve">Implementation </w:t>
            </w:r>
          </w:p>
        </w:tc>
      </w:tr>
      <w:tr w:rsidRPr="00657B18" w:rsidR="00446E79" w:rsidTr="00387984" w14:paraId="1A2E6053" w14:textId="77777777">
        <w:tc>
          <w:tcPr>
            <w:tcW w:w="3539" w:type="dxa"/>
            <w:shd w:val="clear" w:color="auto" w:fill="auto"/>
          </w:tcPr>
          <w:p w:rsidRPr="00657B18" w:rsidR="00446E79" w:rsidP="00387984" w:rsidRDefault="00446E79" w14:paraId="64355BF3" w14:textId="77777777">
            <w:pPr>
              <w:jc w:val="left"/>
              <w:rPr>
                <w:rFonts w:ascii="Calibri" w:hAnsi="Calibri" w:cs="Calibri"/>
                <w:b/>
                <w:bCs/>
                <w:sz w:val="24"/>
              </w:rPr>
            </w:pPr>
            <w:r>
              <w:rPr>
                <w:rFonts w:ascii="Calibri" w:hAnsi="Calibri" w:cs="Calibri"/>
                <w:b/>
                <w:bCs/>
                <w:sz w:val="24"/>
              </w:rPr>
              <w:t>University Code of Practice: Recognised Teacher Status</w:t>
            </w:r>
          </w:p>
        </w:tc>
        <w:tc>
          <w:tcPr>
            <w:tcW w:w="7088" w:type="dxa"/>
            <w:shd w:val="clear" w:color="auto" w:fill="auto"/>
          </w:tcPr>
          <w:p w:rsidR="00446E79" w:rsidP="00387984" w:rsidRDefault="00446E79" w14:paraId="6E157775" w14:textId="77777777">
            <w:pPr>
              <w:jc w:val="left"/>
              <w:rPr>
                <w:rFonts w:ascii="Calibri" w:hAnsi="Calibri" w:cs="Calibri"/>
                <w:sz w:val="24"/>
              </w:rPr>
            </w:pPr>
            <w:r w:rsidRPr="00D31F97">
              <w:rPr>
                <w:rFonts w:ascii="Calibri" w:hAnsi="Calibri" w:cs="Calibri"/>
                <w:sz w:val="24"/>
              </w:rPr>
              <w:t xml:space="preserve">As part of the UoH </w:t>
            </w:r>
            <w:r>
              <w:rPr>
                <w:rFonts w:ascii="Calibri" w:hAnsi="Calibri" w:cs="Calibri"/>
                <w:sz w:val="24"/>
              </w:rPr>
              <w:t xml:space="preserve">5-year </w:t>
            </w:r>
            <w:r w:rsidRPr="00D31F97">
              <w:rPr>
                <w:rFonts w:ascii="Calibri" w:hAnsi="Calibri" w:cs="Calibri"/>
                <w:sz w:val="24"/>
              </w:rPr>
              <w:t xml:space="preserve">cyclical review of its quality and standards framework, </w:t>
            </w: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Recognised Teacher Status.</w:t>
            </w:r>
          </w:p>
          <w:p w:rsidRPr="007E253A" w:rsidR="00446E79" w:rsidP="00387984" w:rsidRDefault="00446E79" w14:paraId="4894AFDA" w14:textId="77777777">
            <w:pPr>
              <w:jc w:val="left"/>
              <w:rPr>
                <w:rFonts w:ascii="Calibri" w:hAnsi="Calibri" w:cs="Calibri"/>
                <w:sz w:val="24"/>
              </w:rPr>
            </w:pPr>
          </w:p>
          <w:p w:rsidRPr="001B4A7D" w:rsidR="00446E79" w:rsidP="00387984" w:rsidRDefault="00446E79" w14:paraId="0B2B0ADA" w14:textId="77777777">
            <w:pPr>
              <w:jc w:val="left"/>
              <w:rPr>
                <w:rFonts w:ascii="Calibri" w:hAnsi="Calibri" w:cs="Calibri"/>
                <w:sz w:val="24"/>
              </w:rPr>
            </w:pPr>
            <w:r w:rsidRPr="001B4A7D">
              <w:rPr>
                <w:rFonts w:ascii="Calibri" w:hAnsi="Calibri" w:cs="Calibri"/>
                <w:sz w:val="24"/>
              </w:rPr>
              <w:t xml:space="preserve">The </w:t>
            </w:r>
            <w:r>
              <w:rPr>
                <w:rFonts w:ascii="Calibri" w:hAnsi="Calibri" w:cs="Calibri"/>
                <w:sz w:val="24"/>
              </w:rPr>
              <w:t>code has</w:t>
            </w:r>
            <w:r w:rsidRPr="001B4A7D">
              <w:rPr>
                <w:rFonts w:ascii="Calibri" w:hAnsi="Calibri" w:cs="Calibri"/>
                <w:sz w:val="24"/>
              </w:rPr>
              <w:t xml:space="preserve"> been significantly revised to ensure additional clarity. Revisions include but </w:t>
            </w:r>
            <w:r>
              <w:rPr>
                <w:rFonts w:ascii="Calibri" w:hAnsi="Calibri" w:cs="Calibri"/>
                <w:sz w:val="24"/>
              </w:rPr>
              <w:t>a</w:t>
            </w:r>
            <w:r w:rsidRPr="001B4A7D">
              <w:rPr>
                <w:rFonts w:ascii="Calibri" w:hAnsi="Calibri" w:cs="Calibri"/>
                <w:sz w:val="24"/>
              </w:rPr>
              <w:t xml:space="preserve">re not limited to: </w:t>
            </w:r>
          </w:p>
          <w:p w:rsidRPr="00D31F97" w:rsidR="00446E79" w:rsidP="009041E6" w:rsidRDefault="00446E79" w14:paraId="0D4BF9B5" w14:textId="77777777">
            <w:pPr>
              <w:pStyle w:val="ListParagraph"/>
              <w:numPr>
                <w:ilvl w:val="0"/>
                <w:numId w:val="5"/>
              </w:numPr>
              <w:jc w:val="left"/>
              <w:rPr>
                <w:rFonts w:ascii="Calibri" w:hAnsi="Calibri" w:cs="Calibri"/>
                <w:sz w:val="24"/>
              </w:rPr>
            </w:pPr>
            <w:r w:rsidRPr="00D31F97">
              <w:rPr>
                <w:rFonts w:ascii="Calibri" w:hAnsi="Calibri" w:cs="Calibri"/>
                <w:sz w:val="24"/>
              </w:rPr>
              <w:t>Clarification of the scope of activities requiring RTS</w:t>
            </w:r>
            <w:r>
              <w:rPr>
                <w:rFonts w:ascii="Calibri" w:hAnsi="Calibri" w:cs="Calibri"/>
                <w:sz w:val="24"/>
              </w:rPr>
              <w:t xml:space="preserve"> (2)</w:t>
            </w:r>
            <w:r w:rsidRPr="00D31F97">
              <w:rPr>
                <w:rFonts w:ascii="Calibri" w:hAnsi="Calibri" w:cs="Calibri"/>
                <w:sz w:val="24"/>
              </w:rPr>
              <w:t xml:space="preserve">. </w:t>
            </w:r>
          </w:p>
          <w:p w:rsidRPr="00D31F97" w:rsidR="00446E79" w:rsidP="009041E6" w:rsidRDefault="00446E79" w14:paraId="36B7442F" w14:textId="77777777">
            <w:pPr>
              <w:pStyle w:val="ListParagraph"/>
              <w:numPr>
                <w:ilvl w:val="0"/>
                <w:numId w:val="5"/>
              </w:numPr>
              <w:jc w:val="left"/>
              <w:rPr>
                <w:rFonts w:ascii="Calibri" w:hAnsi="Calibri" w:cs="Calibri"/>
                <w:sz w:val="24"/>
              </w:rPr>
            </w:pPr>
            <w:r w:rsidRPr="00D31F97">
              <w:rPr>
                <w:rFonts w:ascii="Calibri" w:hAnsi="Calibri" w:cs="Calibri"/>
                <w:sz w:val="24"/>
              </w:rPr>
              <w:t>Allowance of staff who are not employed by the University, or a partner institution, but teach on a UoH programme to apply for RTS</w:t>
            </w:r>
            <w:r>
              <w:rPr>
                <w:rFonts w:ascii="Calibri" w:hAnsi="Calibri" w:cs="Calibri"/>
                <w:sz w:val="24"/>
              </w:rPr>
              <w:t xml:space="preserve"> (2.2)</w:t>
            </w:r>
            <w:r w:rsidRPr="00D31F97">
              <w:rPr>
                <w:rFonts w:ascii="Calibri" w:hAnsi="Calibri" w:cs="Calibri"/>
                <w:sz w:val="24"/>
              </w:rPr>
              <w:t>.</w:t>
            </w:r>
          </w:p>
          <w:p w:rsidRPr="00D31F97" w:rsidR="00446E79" w:rsidP="009041E6" w:rsidRDefault="00446E79" w14:paraId="2FBF9817" w14:textId="77777777">
            <w:pPr>
              <w:pStyle w:val="ListParagraph"/>
              <w:numPr>
                <w:ilvl w:val="0"/>
                <w:numId w:val="5"/>
              </w:numPr>
              <w:jc w:val="left"/>
              <w:rPr>
                <w:rFonts w:ascii="Calibri" w:hAnsi="Calibri" w:cs="Calibri"/>
                <w:sz w:val="24"/>
              </w:rPr>
            </w:pPr>
            <w:r w:rsidRPr="00D31F97">
              <w:rPr>
                <w:rFonts w:ascii="Calibri" w:hAnsi="Calibri" w:cs="Calibri"/>
                <w:sz w:val="24"/>
              </w:rPr>
              <w:t>Clarifies the approval for RTS to be considered by the Associate PVC Education where the relevant programme is not owned by a specific faculty</w:t>
            </w:r>
            <w:r>
              <w:rPr>
                <w:rFonts w:ascii="Calibri" w:hAnsi="Calibri" w:cs="Calibri"/>
                <w:sz w:val="24"/>
              </w:rPr>
              <w:t xml:space="preserve"> (4.10)</w:t>
            </w:r>
            <w:r w:rsidRPr="00D31F97">
              <w:rPr>
                <w:rFonts w:ascii="Calibri" w:hAnsi="Calibri" w:cs="Calibri"/>
                <w:sz w:val="24"/>
              </w:rPr>
              <w:t xml:space="preserve">. </w:t>
            </w:r>
          </w:p>
          <w:p w:rsidRPr="00D31F97" w:rsidR="00446E79" w:rsidP="009041E6" w:rsidRDefault="00446E79" w14:paraId="643A7C1A" w14:textId="77777777">
            <w:pPr>
              <w:pStyle w:val="ListParagraph"/>
              <w:numPr>
                <w:ilvl w:val="0"/>
                <w:numId w:val="5"/>
              </w:numPr>
              <w:jc w:val="left"/>
              <w:rPr>
                <w:rFonts w:ascii="Calibri" w:hAnsi="Calibri" w:cs="Calibri"/>
                <w:sz w:val="24"/>
              </w:rPr>
            </w:pPr>
            <w:r w:rsidRPr="00D31F97">
              <w:rPr>
                <w:rFonts w:ascii="Calibri" w:hAnsi="Calibri" w:cs="Calibri"/>
                <w:sz w:val="24"/>
              </w:rPr>
              <w:t>General editing to align to University standard style for Code of Practice / Regulation terminology.</w:t>
            </w:r>
          </w:p>
          <w:p w:rsidR="00446E79" w:rsidP="00387984" w:rsidRDefault="00446E79" w14:paraId="32B7D1CE" w14:textId="77777777">
            <w:pPr>
              <w:pStyle w:val="ListParagraph"/>
              <w:jc w:val="left"/>
              <w:rPr>
                <w:rFonts w:ascii="Calibri" w:hAnsi="Calibri" w:cs="Calibri"/>
                <w:sz w:val="24"/>
              </w:rPr>
            </w:pPr>
          </w:p>
          <w:p w:rsidR="00446E79" w:rsidP="00387984" w:rsidRDefault="00446E79" w14:paraId="50F895F0"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657B18" w:rsidR="00446E79" w:rsidP="00387984" w:rsidRDefault="00446E79" w14:paraId="6B9D0AAD" w14:textId="77777777">
            <w:pPr>
              <w:jc w:val="right"/>
              <w:rPr>
                <w:rFonts w:ascii="Calibri" w:hAnsi="Calibri" w:cs="Calibri"/>
                <w:color w:val="000000"/>
                <w:sz w:val="24"/>
              </w:rPr>
            </w:pP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387984" w:rsidRDefault="00446E79" w14:paraId="02AF7DAC"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2024</w:t>
            </w:r>
          </w:p>
          <w:p w:rsidRPr="00657B18" w:rsidR="00446E79" w:rsidP="00387984" w:rsidRDefault="00446E79" w14:paraId="2174D57A"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B16CE8" w:rsidR="00446E79" w:rsidTr="00446E79" w14:paraId="23A7E898" w14:textId="77777777">
        <w:tc>
          <w:tcPr>
            <w:tcW w:w="3539" w:type="dxa"/>
            <w:tcBorders>
              <w:top w:val="single" w:color="AEAAAA" w:sz="4" w:space="0"/>
              <w:left w:val="single" w:color="AEAAAA" w:sz="4" w:space="0"/>
              <w:bottom w:val="single" w:color="AEAAAA" w:sz="4" w:space="0"/>
              <w:right w:val="single" w:color="AEAAAA" w:sz="4" w:space="0"/>
            </w:tcBorders>
            <w:shd w:val="clear" w:color="auto" w:fill="auto"/>
          </w:tcPr>
          <w:p w:rsidR="00446E79" w:rsidP="00387984" w:rsidRDefault="00446E79" w14:paraId="7266F6F4" w14:textId="77777777">
            <w:pPr>
              <w:jc w:val="left"/>
              <w:rPr>
                <w:rFonts w:ascii="Calibri" w:hAnsi="Calibri" w:cs="Calibri"/>
                <w:b/>
                <w:bCs/>
                <w:sz w:val="24"/>
              </w:rPr>
            </w:pPr>
            <w:r>
              <w:rPr>
                <w:rFonts w:ascii="Calibri" w:hAnsi="Calibri" w:cs="Calibri"/>
                <w:b/>
                <w:bCs/>
                <w:sz w:val="24"/>
              </w:rPr>
              <w:t>University Code of Practice</w:t>
            </w:r>
            <w:r w:rsidRPr="00BF503C">
              <w:rPr>
                <w:rFonts w:ascii="Calibri" w:hAnsi="Calibri" w:cs="Calibri"/>
                <w:b/>
                <w:bCs/>
                <w:sz w:val="24"/>
              </w:rPr>
              <w:t xml:space="preserve"> for Review, Renewal and Termination of Academic Partnerships</w:t>
            </w:r>
          </w:p>
        </w:tc>
        <w:tc>
          <w:tcPr>
            <w:tcW w:w="7088" w:type="dxa"/>
            <w:tcBorders>
              <w:top w:val="single" w:color="AEAAAA" w:sz="4" w:space="0"/>
              <w:left w:val="single" w:color="AEAAAA" w:sz="4" w:space="0"/>
              <w:bottom w:val="single" w:color="AEAAAA" w:sz="4" w:space="0"/>
              <w:right w:val="single" w:color="AEAAAA" w:sz="4" w:space="0"/>
            </w:tcBorders>
            <w:shd w:val="clear" w:color="auto" w:fill="auto"/>
          </w:tcPr>
          <w:p w:rsidR="00446E79" w:rsidP="00387984" w:rsidRDefault="00446E79" w14:paraId="731CDFC8" w14:textId="77777777">
            <w:pPr>
              <w:jc w:val="left"/>
              <w:rPr>
                <w:rFonts w:ascii="Calibri" w:hAnsi="Calibri" w:cs="Calibri"/>
                <w:sz w:val="24"/>
              </w:rPr>
            </w:pPr>
            <w:r w:rsidRPr="00657B18">
              <w:rPr>
                <w:rFonts w:ascii="Calibri" w:hAnsi="Calibri" w:cs="Calibri"/>
                <w:sz w:val="24"/>
              </w:rPr>
              <w:t>The University has revised its</w:t>
            </w:r>
            <w:r w:rsidRPr="00446E79">
              <w:rPr>
                <w:rFonts w:ascii="Calibri" w:hAnsi="Calibri" w:cs="Calibri"/>
                <w:sz w:val="24"/>
              </w:rPr>
              <w:t xml:space="preserve"> </w:t>
            </w:r>
            <w:r w:rsidRPr="00BF503C">
              <w:rPr>
                <w:rFonts w:ascii="Calibri" w:hAnsi="Calibri" w:cs="Calibri"/>
                <w:sz w:val="24"/>
              </w:rPr>
              <w:t>Code of Practice for Review, Renewal and Termination of Academic Partnerships</w:t>
            </w:r>
            <w:r>
              <w:rPr>
                <w:rFonts w:ascii="Calibri" w:hAnsi="Calibri" w:cs="Calibri"/>
                <w:sz w:val="24"/>
              </w:rPr>
              <w:t>. Revisions include:</w:t>
            </w:r>
          </w:p>
          <w:p w:rsidRPr="00446E79" w:rsidR="00446E79" w:rsidP="009041E6" w:rsidRDefault="00446E79" w14:paraId="35C1E049"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Partnerships are now to be known as ‘Educational Partnerships’ and not ‘Academic Partnerships.’</w:t>
            </w:r>
          </w:p>
          <w:p w:rsidRPr="00446E79" w:rsidR="00446E79" w:rsidP="009041E6" w:rsidRDefault="00446E79" w14:paraId="69C62842"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Inclusion of partnership levels to ensure clarity regarding the difference between activity at each level (para 1.3).</w:t>
            </w:r>
          </w:p>
          <w:p w:rsidRPr="00446E79" w:rsidR="00446E79" w:rsidP="009041E6" w:rsidRDefault="00446E79" w14:paraId="720360B6"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Notes that International partnership review at levels 1 and 2 must be submitted to EPC for approval (para 3.2).</w:t>
            </w:r>
          </w:p>
          <w:p w:rsidRPr="00446E79" w:rsidR="00446E79" w:rsidP="009041E6" w:rsidRDefault="00446E79" w14:paraId="06A2262C"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Inclusion of information about the scope of periodic partner review process (para 3.4).</w:t>
            </w:r>
          </w:p>
          <w:p w:rsidRPr="00BF503C" w:rsidR="00446E79" w:rsidP="00387984" w:rsidRDefault="00446E79" w14:paraId="159F29CC" w14:textId="77777777">
            <w:pPr>
              <w:jc w:val="left"/>
              <w:rPr>
                <w:rFonts w:ascii="Calibri" w:hAnsi="Calibri" w:cs="Calibri"/>
                <w:sz w:val="24"/>
              </w:rPr>
            </w:pPr>
          </w:p>
          <w:p w:rsidR="00446E79" w:rsidP="003C501D" w:rsidRDefault="00446E79" w14:paraId="16133959" w14:textId="77777777">
            <w:pPr>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D31F97" w:rsidR="00446E79" w:rsidP="003C501D" w:rsidRDefault="00446E79" w14:paraId="7A8BD4AF" w14:textId="77777777">
            <w:pPr>
              <w:jc w:val="right"/>
              <w:rPr>
                <w:rFonts w:ascii="Calibri" w:hAnsi="Calibri" w:cs="Calibri"/>
                <w:sz w:val="24"/>
              </w:rPr>
            </w:pPr>
            <w:r>
              <w:rPr>
                <w:rFonts w:ascii="Calibri" w:hAnsi="Calibri" w:cs="Calibri"/>
                <w:sz w:val="24"/>
              </w:rPr>
              <w:t xml:space="preserve">June </w:t>
            </w:r>
            <w:r w:rsidRPr="00542863">
              <w:rPr>
                <w:rFonts w:ascii="Calibri" w:hAnsi="Calibri" w:cs="Calibri"/>
                <w:sz w:val="24"/>
              </w:rPr>
              <w:t>202</w:t>
            </w:r>
            <w:r>
              <w:rPr>
                <w:rFonts w:ascii="Calibri" w:hAnsi="Calibri" w:cs="Calibri"/>
                <w:sz w:val="24"/>
              </w:rPr>
              <w:t>4</w:t>
            </w:r>
          </w:p>
        </w:tc>
        <w:tc>
          <w:tcPr>
            <w:tcW w:w="3321" w:type="dxa"/>
            <w:tcBorders>
              <w:top w:val="single" w:color="AEAAAA" w:sz="4" w:space="0"/>
              <w:left w:val="single" w:color="AEAAAA" w:sz="4" w:space="0"/>
              <w:bottom w:val="single" w:color="AEAAAA" w:sz="4" w:space="0"/>
              <w:right w:val="single" w:color="AEAAAA" w:sz="4" w:space="0"/>
            </w:tcBorders>
            <w:shd w:val="clear" w:color="auto" w:fill="auto"/>
          </w:tcPr>
          <w:p w:rsidRPr="00B16CE8" w:rsidR="00446E79" w:rsidP="00387984" w:rsidRDefault="00446E79" w14:paraId="616B371B"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Pr="00446E79">
              <w:rPr>
                <w:rFonts w:ascii="Calibri" w:hAnsi="Calibri" w:cs="Calibri"/>
                <w:color w:val="000000"/>
                <w:sz w:val="24"/>
              </w:rPr>
              <w:t>immediate</w:t>
            </w:r>
          </w:p>
          <w:p w:rsidRPr="00B16CE8" w:rsidR="00446E79" w:rsidP="00387984" w:rsidRDefault="00446E79" w14:paraId="692DF89F"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B16CE8" w:rsidR="00446E79" w:rsidTr="000E1F68" w14:paraId="0B92D39E" w14:textId="77777777">
        <w:tc>
          <w:tcPr>
            <w:tcW w:w="3539" w:type="dxa"/>
            <w:shd w:val="clear" w:color="auto" w:fill="auto"/>
          </w:tcPr>
          <w:p w:rsidR="00446E79" w:rsidP="00446E79" w:rsidRDefault="00446E79" w14:paraId="04D70020" w14:textId="1F91446E">
            <w:pPr>
              <w:jc w:val="left"/>
              <w:rPr>
                <w:rFonts w:ascii="Calibri" w:hAnsi="Calibri" w:cs="Calibri"/>
                <w:b/>
                <w:bCs/>
                <w:sz w:val="24"/>
              </w:rPr>
            </w:pPr>
            <w:r>
              <w:rPr>
                <w:rFonts w:ascii="Calibri" w:hAnsi="Calibri" w:cs="Calibri"/>
                <w:b/>
                <w:bCs/>
                <w:sz w:val="24"/>
              </w:rPr>
              <w:t>University Code of Practice: Devolution of Admissions</w:t>
            </w:r>
          </w:p>
        </w:tc>
        <w:tc>
          <w:tcPr>
            <w:tcW w:w="7088" w:type="dxa"/>
            <w:shd w:val="clear" w:color="auto" w:fill="auto"/>
          </w:tcPr>
          <w:p w:rsidR="00446E79" w:rsidP="00446E79" w:rsidRDefault="00446E79" w14:paraId="22FAE875" w14:textId="77777777">
            <w:pPr>
              <w:jc w:val="left"/>
              <w:rPr>
                <w:rFonts w:ascii="Calibri" w:hAnsi="Calibri" w:cs="Calibri"/>
                <w:sz w:val="24"/>
              </w:rPr>
            </w:pPr>
            <w:r w:rsidRPr="00D31F97">
              <w:rPr>
                <w:rFonts w:ascii="Calibri" w:hAnsi="Calibri" w:cs="Calibri"/>
                <w:sz w:val="24"/>
              </w:rPr>
              <w:t xml:space="preserve">As part of the UoH </w:t>
            </w:r>
            <w:r>
              <w:rPr>
                <w:rFonts w:ascii="Calibri" w:hAnsi="Calibri" w:cs="Calibri"/>
                <w:sz w:val="24"/>
              </w:rPr>
              <w:t xml:space="preserve">5-year </w:t>
            </w:r>
            <w:r w:rsidRPr="00D31F97">
              <w:rPr>
                <w:rFonts w:ascii="Calibri" w:hAnsi="Calibri" w:cs="Calibri"/>
                <w:sz w:val="24"/>
              </w:rPr>
              <w:t xml:space="preserve">cyclical review of its quality and standards framework, </w:t>
            </w: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Devolution of Admissions.</w:t>
            </w:r>
          </w:p>
          <w:p w:rsidRPr="007E253A" w:rsidR="00446E79" w:rsidP="00446E79" w:rsidRDefault="00446E79" w14:paraId="0EB4A8B3" w14:textId="77777777">
            <w:pPr>
              <w:jc w:val="left"/>
              <w:rPr>
                <w:rFonts w:ascii="Calibri" w:hAnsi="Calibri" w:cs="Calibri"/>
                <w:sz w:val="24"/>
              </w:rPr>
            </w:pPr>
          </w:p>
          <w:p w:rsidRPr="002374E8" w:rsidR="00446E79" w:rsidP="00446E79" w:rsidRDefault="00446E79" w14:paraId="43B8867C" w14:textId="77777777">
            <w:pPr>
              <w:jc w:val="left"/>
              <w:rPr>
                <w:rFonts w:ascii="Calibri" w:hAnsi="Calibri" w:cs="Calibri"/>
                <w:sz w:val="24"/>
              </w:rPr>
            </w:pPr>
            <w:r w:rsidRPr="001B4A7D">
              <w:rPr>
                <w:rFonts w:ascii="Calibri" w:hAnsi="Calibri" w:cs="Calibri"/>
                <w:sz w:val="24"/>
              </w:rPr>
              <w:t xml:space="preserve">The </w:t>
            </w:r>
            <w:r>
              <w:rPr>
                <w:rFonts w:ascii="Calibri" w:hAnsi="Calibri" w:cs="Calibri"/>
                <w:sz w:val="24"/>
              </w:rPr>
              <w:t xml:space="preserve">code </w:t>
            </w:r>
            <w:r w:rsidRPr="002374E8">
              <w:rPr>
                <w:rFonts w:ascii="Calibri" w:hAnsi="Calibri" w:cs="Calibri"/>
                <w:sz w:val="24"/>
              </w:rPr>
              <w:t xml:space="preserve">has not been under substantial review since 2008. Therefore, much of the </w:t>
            </w:r>
            <w:r>
              <w:rPr>
                <w:rFonts w:ascii="Calibri" w:hAnsi="Calibri" w:cs="Calibri"/>
                <w:sz w:val="24"/>
              </w:rPr>
              <w:t xml:space="preserve">review </w:t>
            </w:r>
            <w:r w:rsidRPr="002374E8">
              <w:rPr>
                <w:rFonts w:ascii="Calibri" w:hAnsi="Calibri" w:cs="Calibri"/>
                <w:sz w:val="24"/>
              </w:rPr>
              <w:t>has been to bring the code into line with current university structures and updating of language, including:</w:t>
            </w:r>
          </w:p>
          <w:p w:rsidR="00446E79" w:rsidP="009041E6" w:rsidRDefault="00446E79" w14:paraId="190C2A60" w14:textId="77777777">
            <w:pPr>
              <w:pStyle w:val="ListParagraph"/>
              <w:numPr>
                <w:ilvl w:val="0"/>
                <w:numId w:val="11"/>
              </w:numPr>
              <w:jc w:val="left"/>
              <w:rPr>
                <w:rFonts w:ascii="Calibri" w:hAnsi="Calibri" w:cs="Calibri"/>
                <w:sz w:val="24"/>
              </w:rPr>
            </w:pPr>
            <w:r w:rsidRPr="002374E8">
              <w:rPr>
                <w:rFonts w:ascii="Calibri" w:hAnsi="Calibri" w:cs="Calibri"/>
                <w:sz w:val="24"/>
              </w:rPr>
              <w:t>Confirm the role of EPC in the approval and monitoring of the devolved powers</w:t>
            </w:r>
            <w:r>
              <w:rPr>
                <w:rFonts w:ascii="Calibri" w:hAnsi="Calibri" w:cs="Calibri"/>
                <w:sz w:val="24"/>
              </w:rPr>
              <w:t>.</w:t>
            </w:r>
          </w:p>
          <w:p w:rsidR="00446E79" w:rsidP="009041E6" w:rsidRDefault="00446E79" w14:paraId="02C26ADD" w14:textId="77777777">
            <w:pPr>
              <w:pStyle w:val="ListParagraph"/>
              <w:numPr>
                <w:ilvl w:val="0"/>
                <w:numId w:val="11"/>
              </w:numPr>
              <w:jc w:val="left"/>
              <w:rPr>
                <w:rFonts w:ascii="Calibri" w:hAnsi="Calibri" w:cs="Calibri"/>
                <w:sz w:val="24"/>
              </w:rPr>
            </w:pPr>
            <w:r w:rsidRPr="002374E8">
              <w:rPr>
                <w:rFonts w:ascii="Calibri" w:hAnsi="Calibri" w:cs="Calibri"/>
                <w:sz w:val="24"/>
              </w:rPr>
              <w:lastRenderedPageBreak/>
              <w:t>Confirm arrangements for changes to entry requirements at Clearing</w:t>
            </w:r>
            <w:r>
              <w:rPr>
                <w:rFonts w:ascii="Calibri" w:hAnsi="Calibri" w:cs="Calibri"/>
                <w:sz w:val="24"/>
              </w:rPr>
              <w:t>.</w:t>
            </w:r>
          </w:p>
          <w:p w:rsidRPr="002374E8" w:rsidR="00446E79" w:rsidP="009041E6" w:rsidRDefault="00446E79" w14:paraId="778A466C" w14:textId="77777777">
            <w:pPr>
              <w:pStyle w:val="ListParagraph"/>
              <w:numPr>
                <w:ilvl w:val="0"/>
                <w:numId w:val="11"/>
              </w:numPr>
              <w:jc w:val="left"/>
              <w:rPr>
                <w:rFonts w:ascii="Calibri" w:hAnsi="Calibri" w:cs="Calibri"/>
                <w:sz w:val="24"/>
              </w:rPr>
            </w:pPr>
            <w:r w:rsidRPr="002374E8">
              <w:rPr>
                <w:rFonts w:ascii="Calibri" w:hAnsi="Calibri" w:cs="Calibri"/>
                <w:sz w:val="24"/>
              </w:rPr>
              <w:t>Confirm</w:t>
            </w:r>
            <w:r>
              <w:rPr>
                <w:rFonts w:ascii="Calibri" w:hAnsi="Calibri" w:cs="Calibri"/>
                <w:sz w:val="24"/>
              </w:rPr>
              <w:t xml:space="preserve"> </w:t>
            </w:r>
            <w:r w:rsidRPr="002374E8">
              <w:rPr>
                <w:rFonts w:ascii="Calibri" w:hAnsi="Calibri" w:cs="Calibri"/>
                <w:sz w:val="24"/>
              </w:rPr>
              <w:t>the appropriateness of the policy via annual review (AMREP) and the partner audit process</w:t>
            </w:r>
            <w:r>
              <w:rPr>
                <w:rFonts w:ascii="Calibri" w:hAnsi="Calibri" w:cs="Calibri"/>
                <w:sz w:val="24"/>
              </w:rPr>
              <w:t>.</w:t>
            </w:r>
          </w:p>
          <w:p w:rsidR="00446E79" w:rsidP="00446E79" w:rsidRDefault="00446E79" w14:paraId="0EBC888A" w14:textId="77777777">
            <w:pPr>
              <w:pStyle w:val="ListParagraph"/>
              <w:jc w:val="left"/>
              <w:rPr>
                <w:rFonts w:ascii="Calibri" w:hAnsi="Calibri" w:cs="Calibri"/>
                <w:sz w:val="24"/>
              </w:rPr>
            </w:pPr>
          </w:p>
          <w:p w:rsidR="00446E79" w:rsidP="00446E79" w:rsidRDefault="00446E79" w14:paraId="71CEBE84"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657B18" w:rsidR="00446E79" w:rsidP="003C501D" w:rsidRDefault="00446E79" w14:paraId="472C7A15" w14:textId="236FCA7C">
            <w:pPr>
              <w:jc w:val="right"/>
              <w:rPr>
                <w:rFonts w:ascii="Calibri" w:hAnsi="Calibri" w:cs="Calibri"/>
                <w:sz w:val="24"/>
              </w:rPr>
            </w:pPr>
            <w:r>
              <w:rPr>
                <w:rFonts w:ascii="Calibri" w:hAnsi="Calibri" w:cs="Calibri"/>
                <w:sz w:val="24"/>
              </w:rPr>
              <w:t xml:space="preserve">July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446E79" w:rsidRDefault="00446E79" w14:paraId="12B7CCB1"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2024</w:t>
            </w:r>
          </w:p>
          <w:p w:rsidRPr="00B16CE8" w:rsidR="00446E79" w:rsidP="00446E79" w:rsidRDefault="00446E79" w14:paraId="105442C9" w14:textId="30346D61">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446E79" w:rsidP="00446E79" w:rsidRDefault="00446E79" w14:paraId="1D19B502" w14:textId="77777777">
      <w:pPr>
        <w:pStyle w:val="Heading4"/>
        <w:numPr>
          <w:ilvl w:val="0"/>
          <w:numId w:val="0"/>
        </w:numPr>
        <w:ind w:left="567"/>
        <w:rPr>
          <w:lang w:eastAsia="en-US"/>
        </w:rPr>
      </w:pPr>
    </w:p>
    <w:p w:rsidR="00446E79" w:rsidP="00446E79" w:rsidRDefault="00446E79" w14:paraId="4CFC9421" w14:textId="77777777">
      <w:pPr>
        <w:keepNext/>
        <w:outlineLvl w:val="1"/>
        <w:rPr>
          <w:rFonts w:cs="Arial"/>
          <w:b/>
          <w:bCs/>
          <w:iCs/>
          <w:color w:val="0070C0"/>
          <w:szCs w:val="28"/>
        </w:rPr>
      </w:pPr>
    </w:p>
    <w:p w:rsidRPr="001D26D8" w:rsidR="00446E79" w:rsidP="00446E79" w:rsidRDefault="00446E79" w14:paraId="10CB833E" w14:textId="77777777">
      <w:pPr>
        <w:keepNext/>
        <w:outlineLvl w:val="1"/>
        <w:rPr>
          <w:rFonts w:cs="Arial"/>
          <w:b/>
          <w:bCs/>
          <w:iCs/>
          <w:color w:val="0070C0"/>
          <w:szCs w:val="28"/>
        </w:rPr>
      </w:pPr>
      <w:bookmarkStart w:name="_Toc171599809" w:id="10"/>
      <w:bookmarkStart w:name="_Toc174628995" w:id="11"/>
      <w:r>
        <w:rPr>
          <w:rFonts w:cs="Arial"/>
          <w:b/>
          <w:bCs/>
          <w:iCs/>
          <w:color w:val="0070C0"/>
          <w:szCs w:val="28"/>
        </w:rPr>
        <w:t>PROGRAMME DEVELOPMENT and MANAGEMENT</w:t>
      </w:r>
      <w:bookmarkEnd w:id="10"/>
      <w:bookmarkEnd w:id="11"/>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446E79" w:rsidTr="00387984" w14:paraId="2855B0C9" w14:textId="77777777">
        <w:trPr>
          <w:tblHeader/>
        </w:trPr>
        <w:tc>
          <w:tcPr>
            <w:tcW w:w="3470" w:type="dxa"/>
            <w:shd w:val="clear" w:color="auto" w:fill="D0CECE"/>
          </w:tcPr>
          <w:p w:rsidRPr="001D26D8" w:rsidR="00446E79" w:rsidP="00387984" w:rsidRDefault="00446E79" w14:paraId="6A769F69"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446E79" w:rsidP="00387984" w:rsidRDefault="00446E79" w14:paraId="63CE80B2" w14:textId="77777777">
            <w:pPr>
              <w:jc w:val="center"/>
              <w:rPr>
                <w:rFonts w:cs="Arial"/>
                <w:sz w:val="22"/>
                <w:szCs w:val="22"/>
              </w:rPr>
            </w:pPr>
            <w:r w:rsidRPr="001D26D8">
              <w:rPr>
                <w:b/>
                <w:sz w:val="22"/>
                <w:szCs w:val="22"/>
              </w:rPr>
              <w:t>Details</w:t>
            </w:r>
          </w:p>
        </w:tc>
        <w:tc>
          <w:tcPr>
            <w:tcW w:w="3321" w:type="dxa"/>
            <w:shd w:val="clear" w:color="auto" w:fill="D0CECE"/>
          </w:tcPr>
          <w:p w:rsidRPr="001D26D8" w:rsidR="00446E79" w:rsidP="00387984" w:rsidRDefault="00446E79" w14:paraId="042C08AE" w14:textId="77777777">
            <w:pPr>
              <w:jc w:val="center"/>
              <w:rPr>
                <w:color w:val="000000"/>
                <w:sz w:val="22"/>
                <w:szCs w:val="22"/>
              </w:rPr>
            </w:pPr>
            <w:r w:rsidRPr="001D26D8">
              <w:rPr>
                <w:b/>
                <w:sz w:val="22"/>
                <w:szCs w:val="22"/>
              </w:rPr>
              <w:t>Implementation</w:t>
            </w:r>
          </w:p>
        </w:tc>
      </w:tr>
      <w:tr w:rsidRPr="001D26D8" w:rsidR="00446E79" w:rsidTr="00387984" w14:paraId="687CE9EE" w14:textId="77777777">
        <w:tc>
          <w:tcPr>
            <w:tcW w:w="3470" w:type="dxa"/>
            <w:shd w:val="clear" w:color="auto" w:fill="auto"/>
          </w:tcPr>
          <w:p w:rsidR="00446E79" w:rsidP="00387984" w:rsidRDefault="00446E79" w14:paraId="7A6BE3FC" w14:textId="77777777">
            <w:pPr>
              <w:tabs>
                <w:tab w:val="left" w:pos="567"/>
                <w:tab w:val="center" w:pos="4464"/>
                <w:tab w:val="right" w:pos="8928"/>
                <w:tab w:val="right" w:pos="9020"/>
                <w:tab w:val="right" w:pos="9072"/>
              </w:tabs>
              <w:jc w:val="left"/>
              <w:rPr>
                <w:rFonts w:ascii="Calibri" w:hAnsi="Calibri" w:cs="Calibri"/>
                <w:b/>
                <w:bCs/>
                <w:sz w:val="24"/>
              </w:rPr>
            </w:pPr>
            <w:r w:rsidRPr="007158F7">
              <w:rPr>
                <w:rFonts w:ascii="Calibri" w:hAnsi="Calibri" w:cs="Calibri"/>
                <w:b/>
                <w:bCs/>
                <w:sz w:val="24"/>
              </w:rPr>
              <w:t xml:space="preserve">University Code of Practice: </w:t>
            </w:r>
            <w:r>
              <w:rPr>
                <w:rFonts w:ascii="Calibri" w:hAnsi="Calibri" w:cs="Calibri"/>
                <w:b/>
                <w:bCs/>
                <w:sz w:val="24"/>
              </w:rPr>
              <w:t xml:space="preserve">Validity and Relevance </w:t>
            </w:r>
          </w:p>
        </w:tc>
        <w:tc>
          <w:tcPr>
            <w:tcW w:w="7157" w:type="dxa"/>
            <w:shd w:val="clear" w:color="auto" w:fill="auto"/>
          </w:tcPr>
          <w:p w:rsidRPr="006F4247" w:rsidR="00446E79" w:rsidP="00387984" w:rsidRDefault="00446E79" w14:paraId="18163A01" w14:textId="77777777">
            <w:pPr>
              <w:jc w:val="left"/>
              <w:rPr>
                <w:rFonts w:asciiTheme="minorHAnsi" w:hAnsiTheme="minorHAnsi" w:cstheme="minorHAnsi"/>
                <w:sz w:val="24"/>
              </w:rPr>
            </w:pPr>
            <w:r w:rsidRPr="006F4247">
              <w:rPr>
                <w:rFonts w:asciiTheme="minorHAnsi" w:hAnsiTheme="minorHAnsi" w:cstheme="minorHAnsi"/>
                <w:sz w:val="24"/>
              </w:rPr>
              <w:t>The University has re</w:t>
            </w:r>
            <w:r>
              <w:rPr>
                <w:rFonts w:asciiTheme="minorHAnsi" w:hAnsiTheme="minorHAnsi" w:cstheme="minorHAnsi"/>
                <w:sz w:val="24"/>
              </w:rPr>
              <w:t>introduced</w:t>
            </w:r>
            <w:r w:rsidRPr="006F4247">
              <w:rPr>
                <w:rFonts w:asciiTheme="minorHAnsi" w:hAnsiTheme="minorHAnsi" w:cstheme="minorHAnsi"/>
                <w:sz w:val="24"/>
              </w:rPr>
              <w:t xml:space="preserve"> its University Code of Practice: Validity and Relevance</w:t>
            </w:r>
            <w:r>
              <w:rPr>
                <w:rFonts w:asciiTheme="minorHAnsi" w:hAnsiTheme="minorHAnsi" w:cstheme="minorHAnsi"/>
                <w:sz w:val="24"/>
              </w:rPr>
              <w:t>.</w:t>
            </w:r>
          </w:p>
          <w:p w:rsidR="00446E79" w:rsidP="00387984" w:rsidRDefault="00446E79" w14:paraId="27BBEACB" w14:textId="77777777">
            <w:pPr>
              <w:jc w:val="left"/>
              <w:rPr>
                <w:rFonts w:ascii="Calibri" w:hAnsi="Calibri" w:cs="Calibri"/>
                <w:sz w:val="24"/>
              </w:rPr>
            </w:pPr>
          </w:p>
          <w:p w:rsidRPr="006F4247" w:rsidR="00446E79" w:rsidP="00387984" w:rsidRDefault="00446E79" w14:paraId="6F2B2A96" w14:textId="77777777">
            <w:pPr>
              <w:jc w:val="left"/>
              <w:rPr>
                <w:rFonts w:ascii="Calibri" w:hAnsi="Calibri" w:cs="Calibri"/>
                <w:sz w:val="24"/>
              </w:rPr>
            </w:pPr>
            <w:r w:rsidRPr="006F4247">
              <w:rPr>
                <w:rFonts w:ascii="Calibri" w:hAnsi="Calibri" w:cs="Calibri"/>
                <w:sz w:val="24"/>
              </w:rPr>
              <w:t>The Code has been revised to ensure that:</w:t>
            </w:r>
          </w:p>
          <w:p w:rsidRPr="006F4247" w:rsidR="00446E79" w:rsidP="009041E6" w:rsidRDefault="00446E79" w14:paraId="660DA936" w14:textId="77777777">
            <w:pPr>
              <w:pStyle w:val="ListParagraph"/>
              <w:numPr>
                <w:ilvl w:val="0"/>
                <w:numId w:val="10"/>
              </w:numPr>
              <w:jc w:val="left"/>
              <w:rPr>
                <w:rFonts w:ascii="Calibri" w:hAnsi="Calibri" w:cs="Calibri"/>
                <w:sz w:val="24"/>
              </w:rPr>
            </w:pPr>
            <w:r>
              <w:rPr>
                <w:rFonts w:ascii="Calibri" w:hAnsi="Calibri" w:cs="Calibri"/>
                <w:sz w:val="24"/>
              </w:rPr>
              <w:t>I</w:t>
            </w:r>
            <w:r w:rsidRPr="006F4247">
              <w:rPr>
                <w:rFonts w:ascii="Calibri" w:hAnsi="Calibri" w:cs="Calibri"/>
                <w:sz w:val="24"/>
              </w:rPr>
              <w:t xml:space="preserve">t reflects OfS expectations (especially B1) to ensure that </w:t>
            </w:r>
            <w:r w:rsidRPr="006F4247">
              <w:rPr>
                <w:rFonts w:ascii="Calibri" w:hAnsi="Calibri" w:cs="Calibri"/>
                <w:i/>
                <w:iCs/>
                <w:sz w:val="24"/>
              </w:rPr>
              <w:t>students receive a high-quality academic experience including each higher education course to be up-to-date and for each higher education course, as appropriate to the subject matter of the course, requires students to develop relevant skills</w:t>
            </w:r>
            <w:r w:rsidRPr="006F4247">
              <w:rPr>
                <w:rFonts w:ascii="Calibri" w:hAnsi="Calibri" w:cs="Calibri"/>
                <w:sz w:val="24"/>
              </w:rPr>
              <w:t>.</w:t>
            </w:r>
          </w:p>
          <w:p w:rsidRPr="006F4247" w:rsidR="00446E79" w:rsidP="009041E6" w:rsidRDefault="00446E79" w14:paraId="35216C09" w14:textId="77777777">
            <w:pPr>
              <w:pStyle w:val="ListParagraph"/>
              <w:numPr>
                <w:ilvl w:val="0"/>
                <w:numId w:val="10"/>
              </w:numPr>
              <w:jc w:val="left"/>
              <w:rPr>
                <w:rFonts w:ascii="Calibri" w:hAnsi="Calibri" w:cs="Calibri"/>
                <w:sz w:val="24"/>
              </w:rPr>
            </w:pPr>
            <w:r>
              <w:rPr>
                <w:rFonts w:ascii="Calibri" w:hAnsi="Calibri" w:cs="Calibri"/>
                <w:sz w:val="24"/>
              </w:rPr>
              <w:t>R</w:t>
            </w:r>
            <w:r w:rsidRPr="006F4247">
              <w:rPr>
                <w:rFonts w:ascii="Calibri" w:hAnsi="Calibri" w:cs="Calibri"/>
                <w:sz w:val="24"/>
              </w:rPr>
              <w:t xml:space="preserve">eflects QAA expectations to ensure the university </w:t>
            </w:r>
            <w:r w:rsidRPr="006F4247">
              <w:rPr>
                <w:rFonts w:ascii="Calibri" w:hAnsi="Calibri" w:cs="Calibri"/>
                <w:i/>
                <w:iCs/>
                <w:sz w:val="24"/>
              </w:rPr>
              <w:t>regularly reviews and enhance its provision, to ensure courses and wider services remain fit for purpose and to take account of changing circumstances, demands and pedagogical developments</w:t>
            </w:r>
            <w:r w:rsidRPr="006F4247">
              <w:rPr>
                <w:rFonts w:ascii="Calibri" w:hAnsi="Calibri" w:cs="Calibri"/>
                <w:sz w:val="24"/>
              </w:rPr>
              <w:t>.</w:t>
            </w:r>
          </w:p>
          <w:p w:rsidR="00446E79" w:rsidP="009041E6" w:rsidRDefault="00446E79" w14:paraId="5E3A72EE" w14:textId="77777777">
            <w:pPr>
              <w:pStyle w:val="ListParagraph"/>
              <w:numPr>
                <w:ilvl w:val="0"/>
                <w:numId w:val="10"/>
              </w:numPr>
              <w:jc w:val="left"/>
              <w:rPr>
                <w:rFonts w:ascii="Calibri" w:hAnsi="Calibri" w:cs="Calibri"/>
                <w:sz w:val="24"/>
              </w:rPr>
            </w:pPr>
            <w:r>
              <w:rPr>
                <w:rFonts w:ascii="Calibri" w:hAnsi="Calibri" w:cs="Calibri"/>
                <w:sz w:val="24"/>
              </w:rPr>
              <w:t>R</w:t>
            </w:r>
            <w:r w:rsidRPr="006F4247">
              <w:rPr>
                <w:rFonts w:ascii="Calibri" w:hAnsi="Calibri" w:cs="Calibri"/>
                <w:sz w:val="24"/>
              </w:rPr>
              <w:t>eflects UoH Education Strategy</w:t>
            </w:r>
            <w:r>
              <w:rPr>
                <w:rFonts w:ascii="Calibri" w:hAnsi="Calibri" w:cs="Calibri"/>
                <w:sz w:val="24"/>
              </w:rPr>
              <w:t xml:space="preserve"> (2020-25).</w:t>
            </w:r>
          </w:p>
          <w:p w:rsidR="00446E79" w:rsidP="009041E6" w:rsidRDefault="00446E79" w14:paraId="0357F041" w14:textId="77777777">
            <w:pPr>
              <w:pStyle w:val="ListParagraph"/>
              <w:numPr>
                <w:ilvl w:val="0"/>
                <w:numId w:val="10"/>
              </w:numPr>
              <w:jc w:val="left"/>
              <w:rPr>
                <w:rFonts w:ascii="Calibri" w:hAnsi="Calibri" w:cs="Calibri"/>
                <w:sz w:val="24"/>
              </w:rPr>
            </w:pPr>
            <w:r>
              <w:rPr>
                <w:rFonts w:ascii="Calibri" w:hAnsi="Calibri" w:cs="Calibri"/>
                <w:sz w:val="24"/>
              </w:rPr>
              <w:lastRenderedPageBreak/>
              <w:t>I</w:t>
            </w:r>
            <w:r w:rsidRPr="006F4247">
              <w:rPr>
                <w:rFonts w:ascii="Calibri" w:hAnsi="Calibri" w:cs="Calibri"/>
                <w:sz w:val="24"/>
              </w:rPr>
              <w:t>ncludes reference to UoH Developmental Engagement with Subjects (DES) and Continual Monitoring, Evaluation and Enhancement (CMEE) processes.</w:t>
            </w:r>
          </w:p>
          <w:p w:rsidRPr="006F4247" w:rsidR="00446E79" w:rsidP="00387984" w:rsidRDefault="00446E79" w14:paraId="5FA88E48" w14:textId="77777777">
            <w:pPr>
              <w:pStyle w:val="ListParagraph"/>
              <w:jc w:val="left"/>
              <w:rPr>
                <w:rFonts w:ascii="Calibri" w:hAnsi="Calibri" w:cs="Calibri"/>
                <w:sz w:val="24"/>
              </w:rPr>
            </w:pPr>
          </w:p>
          <w:p w:rsidR="00446E79" w:rsidP="00387984" w:rsidRDefault="00446E79" w14:paraId="6067417D"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July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387984" w:rsidRDefault="00446E79" w14:paraId="74483060"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Pr>
                <w:rFonts w:ascii="Calibri" w:hAnsi="Calibri" w:cs="Calibri"/>
                <w:b/>
                <w:bCs/>
                <w:color w:val="000000"/>
                <w:sz w:val="24"/>
              </w:rPr>
              <w:t>immediate</w:t>
            </w:r>
          </w:p>
          <w:p w:rsidRPr="00B16CE8" w:rsidR="00446E79" w:rsidP="00387984" w:rsidRDefault="00446E79" w14:paraId="1074B629"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446E79" w:rsidP="00446E79" w:rsidRDefault="00446E79" w14:paraId="3CFFB440" w14:textId="77777777">
      <w:pPr>
        <w:pStyle w:val="Heading4"/>
        <w:numPr>
          <w:ilvl w:val="0"/>
          <w:numId w:val="0"/>
        </w:numPr>
        <w:ind w:left="567"/>
        <w:rPr>
          <w:lang w:eastAsia="en-US"/>
        </w:rPr>
      </w:pPr>
    </w:p>
    <w:p w:rsidRPr="00657B18" w:rsidR="00446E79" w:rsidP="00446E79" w:rsidRDefault="00446E79" w14:paraId="6F42597D" w14:textId="77777777">
      <w:pPr>
        <w:keepNext/>
        <w:outlineLvl w:val="1"/>
        <w:rPr>
          <w:rFonts w:cs="Arial"/>
          <w:bCs/>
          <w:iCs/>
          <w:color w:val="0070C0"/>
          <w:sz w:val="24"/>
        </w:rPr>
      </w:pPr>
      <w:bookmarkStart w:name="_Toc169006575" w:id="12"/>
      <w:bookmarkStart w:name="_Toc174628996" w:id="13"/>
      <w:r>
        <w:rPr>
          <w:rFonts w:cs="Arial"/>
          <w:b/>
          <w:bCs/>
          <w:iCs/>
          <w:color w:val="0070C0"/>
          <w:sz w:val="24"/>
        </w:rPr>
        <w:t>PROGRAMME REGULATIONS</w:t>
      </w:r>
      <w:bookmarkEnd w:id="12"/>
      <w:bookmarkEnd w:id="13"/>
    </w:p>
    <w:p w:rsidRPr="00657B18" w:rsidR="00446E79" w:rsidP="00446E79" w:rsidRDefault="00446E79" w14:paraId="5F7001DA"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657B18" w:rsidR="00446E79" w:rsidTr="00387984" w14:paraId="2873EE97" w14:textId="77777777">
        <w:tc>
          <w:tcPr>
            <w:tcW w:w="3539" w:type="dxa"/>
            <w:shd w:val="clear" w:color="auto" w:fill="D0CECE"/>
            <w:vAlign w:val="center"/>
          </w:tcPr>
          <w:p w:rsidRPr="00657B18" w:rsidR="00446E79" w:rsidP="00387984" w:rsidRDefault="00446E79" w14:paraId="6703E255" w14:textId="77777777">
            <w:pPr>
              <w:jc w:val="center"/>
              <w:rPr>
                <w:rFonts w:cs="Arial"/>
                <w:b/>
                <w:bCs/>
                <w:sz w:val="22"/>
                <w:szCs w:val="22"/>
              </w:rPr>
            </w:pPr>
            <w:r w:rsidRPr="00657B18">
              <w:rPr>
                <w:rFonts w:cs="Arial"/>
                <w:b/>
                <w:bCs/>
                <w:sz w:val="22"/>
                <w:szCs w:val="22"/>
              </w:rPr>
              <w:t>Quality Handbook</w:t>
            </w:r>
          </w:p>
        </w:tc>
        <w:tc>
          <w:tcPr>
            <w:tcW w:w="7088" w:type="dxa"/>
            <w:shd w:val="clear" w:color="auto" w:fill="D0CECE"/>
            <w:vAlign w:val="center"/>
          </w:tcPr>
          <w:p w:rsidRPr="00657B18" w:rsidR="00446E79" w:rsidP="00387984" w:rsidRDefault="00446E79" w14:paraId="1B0EC46D" w14:textId="77777777">
            <w:pPr>
              <w:jc w:val="center"/>
              <w:rPr>
                <w:b/>
                <w:bCs/>
                <w:color w:val="000000"/>
                <w:sz w:val="22"/>
                <w:szCs w:val="22"/>
              </w:rPr>
            </w:pPr>
            <w:r w:rsidRPr="00657B18">
              <w:rPr>
                <w:rFonts w:cs="Arial"/>
                <w:b/>
                <w:bCs/>
                <w:sz w:val="22"/>
                <w:szCs w:val="22"/>
              </w:rPr>
              <w:t xml:space="preserve">Details </w:t>
            </w:r>
          </w:p>
        </w:tc>
        <w:tc>
          <w:tcPr>
            <w:tcW w:w="3321" w:type="dxa"/>
            <w:shd w:val="clear" w:color="auto" w:fill="D0CECE"/>
            <w:vAlign w:val="center"/>
          </w:tcPr>
          <w:p w:rsidRPr="00657B18" w:rsidR="00446E79" w:rsidP="00387984" w:rsidRDefault="00446E79" w14:paraId="20925281" w14:textId="77777777">
            <w:pPr>
              <w:jc w:val="center"/>
              <w:rPr>
                <w:b/>
                <w:bCs/>
                <w:color w:val="000000"/>
                <w:sz w:val="22"/>
                <w:szCs w:val="22"/>
              </w:rPr>
            </w:pPr>
            <w:r w:rsidRPr="00657B18">
              <w:rPr>
                <w:b/>
                <w:bCs/>
                <w:color w:val="000000"/>
                <w:sz w:val="22"/>
                <w:szCs w:val="22"/>
              </w:rPr>
              <w:t xml:space="preserve">Implementation </w:t>
            </w:r>
          </w:p>
        </w:tc>
      </w:tr>
      <w:tr w:rsidRPr="00657B18" w:rsidR="00446E79" w:rsidTr="00387984" w14:paraId="4DF5BF42" w14:textId="77777777">
        <w:tc>
          <w:tcPr>
            <w:tcW w:w="3539" w:type="dxa"/>
            <w:shd w:val="clear" w:color="auto" w:fill="auto"/>
          </w:tcPr>
          <w:p w:rsidRPr="00657B18" w:rsidR="00446E79" w:rsidP="00387984" w:rsidRDefault="00446E79" w14:paraId="0294D487" w14:textId="77777777">
            <w:pPr>
              <w:jc w:val="left"/>
              <w:rPr>
                <w:rFonts w:ascii="Calibri" w:hAnsi="Calibri" w:cs="Calibri"/>
                <w:b/>
                <w:bCs/>
                <w:sz w:val="24"/>
              </w:rPr>
            </w:pPr>
            <w:r w:rsidRPr="00657B18">
              <w:rPr>
                <w:rFonts w:ascii="Calibri" w:hAnsi="Calibri" w:cs="Calibri"/>
                <w:b/>
                <w:bCs/>
                <w:sz w:val="24"/>
              </w:rPr>
              <w:t xml:space="preserve">University </w:t>
            </w:r>
            <w:r>
              <w:rPr>
                <w:rFonts w:ascii="Calibri" w:hAnsi="Calibri" w:cs="Calibri"/>
                <w:b/>
                <w:bCs/>
                <w:sz w:val="24"/>
              </w:rPr>
              <w:t xml:space="preserve">Programme Regulations:  </w:t>
            </w:r>
            <w:r w:rsidRPr="00D31F97">
              <w:rPr>
                <w:rFonts w:ascii="Calibri" w:hAnsi="Calibri" w:cs="Calibri"/>
                <w:b/>
                <w:bCs/>
                <w:sz w:val="24"/>
              </w:rPr>
              <w:t>Postgraduate Certificate/Postgraduate Diploma</w:t>
            </w:r>
          </w:p>
        </w:tc>
        <w:tc>
          <w:tcPr>
            <w:tcW w:w="7088" w:type="dxa"/>
            <w:shd w:val="clear" w:color="auto" w:fill="auto"/>
          </w:tcPr>
          <w:p w:rsidR="00446E79" w:rsidP="00387984" w:rsidRDefault="00446E79" w14:paraId="22A9DEF7" w14:textId="77777777">
            <w:pPr>
              <w:jc w:val="left"/>
              <w:rPr>
                <w:rFonts w:ascii="Calibri" w:hAnsi="Calibri" w:cs="Calibri"/>
                <w:sz w:val="24"/>
              </w:rPr>
            </w:pPr>
            <w:r w:rsidRPr="00657B18">
              <w:rPr>
                <w:rFonts w:ascii="Calibri" w:hAnsi="Calibri" w:cs="Calibri"/>
                <w:sz w:val="24"/>
              </w:rPr>
              <w:t>The University has revised its Programme Regulations</w:t>
            </w:r>
            <w:r>
              <w:t xml:space="preserve"> </w:t>
            </w:r>
            <w:r w:rsidRPr="00D31F97">
              <w:rPr>
                <w:rFonts w:ascii="Calibri" w:hAnsi="Calibri" w:cs="Calibri"/>
                <w:sz w:val="24"/>
              </w:rPr>
              <w:t>Postgraduate Certificate/Postgraduate Diploma</w:t>
            </w:r>
            <w:r>
              <w:rPr>
                <w:rFonts w:ascii="Calibri" w:hAnsi="Calibri" w:cs="Calibri"/>
                <w:sz w:val="24"/>
              </w:rPr>
              <w:t>.</w:t>
            </w:r>
          </w:p>
          <w:p w:rsidR="00446E79" w:rsidP="00387984" w:rsidRDefault="00446E79" w14:paraId="69DB6BBE" w14:textId="77777777">
            <w:pPr>
              <w:jc w:val="left"/>
              <w:rPr>
                <w:rFonts w:ascii="Calibri" w:hAnsi="Calibri" w:cs="Calibri"/>
                <w:sz w:val="24"/>
              </w:rPr>
            </w:pPr>
          </w:p>
          <w:p w:rsidR="00446E79" w:rsidP="00387984" w:rsidRDefault="00446E79" w14:paraId="21C149D7" w14:textId="77777777">
            <w:pPr>
              <w:jc w:val="left"/>
              <w:rPr>
                <w:rFonts w:ascii="Calibri" w:hAnsi="Calibri" w:cs="Calibri"/>
                <w:color w:val="000000"/>
                <w:sz w:val="24"/>
              </w:rPr>
            </w:pPr>
            <w:r>
              <w:rPr>
                <w:rFonts w:ascii="Calibri" w:hAnsi="Calibri" w:cs="Calibri"/>
                <w:color w:val="000000"/>
                <w:sz w:val="24"/>
              </w:rPr>
              <w:t>This is a minor revision to remove t</w:t>
            </w:r>
            <w:r w:rsidRPr="00D31F97">
              <w:rPr>
                <w:rFonts w:ascii="Calibri" w:hAnsi="Calibri" w:cs="Calibri"/>
                <w:color w:val="000000"/>
                <w:sz w:val="24"/>
              </w:rPr>
              <w:t>he award of Merit and Distinction</w:t>
            </w:r>
            <w:r>
              <w:rPr>
                <w:rFonts w:ascii="Calibri" w:hAnsi="Calibri" w:cs="Calibri"/>
                <w:color w:val="000000"/>
                <w:sz w:val="24"/>
              </w:rPr>
              <w:t>. This is t</w:t>
            </w:r>
            <w:r w:rsidRPr="00D31F97">
              <w:rPr>
                <w:rFonts w:ascii="Calibri" w:hAnsi="Calibri" w:cs="Calibri"/>
                <w:color w:val="000000"/>
                <w:sz w:val="24"/>
              </w:rPr>
              <w:t xml:space="preserve">o align to sector and to the UoH Taught Masters regulations.  </w:t>
            </w:r>
          </w:p>
          <w:p w:rsidR="00446E79" w:rsidP="00387984" w:rsidRDefault="00446E79" w14:paraId="0F3A9393" w14:textId="77777777">
            <w:pPr>
              <w:jc w:val="left"/>
              <w:rPr>
                <w:rFonts w:ascii="Calibri" w:hAnsi="Calibri" w:cs="Calibri"/>
                <w:color w:val="000000"/>
                <w:sz w:val="24"/>
              </w:rPr>
            </w:pPr>
          </w:p>
          <w:p w:rsidR="00446E79" w:rsidP="00387984" w:rsidRDefault="00446E79" w14:paraId="553C3968"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p w:rsidRPr="00657B18" w:rsidR="00446E79" w:rsidP="00387984" w:rsidRDefault="00446E79" w14:paraId="02731DCE" w14:textId="77777777">
            <w:pPr>
              <w:jc w:val="right"/>
              <w:rPr>
                <w:rFonts w:ascii="Calibri" w:hAnsi="Calibri" w:cs="Calibri"/>
                <w:color w:val="000000"/>
                <w:sz w:val="24"/>
              </w:rPr>
            </w:pPr>
            <w:r>
              <w:rPr>
                <w:rFonts w:ascii="Calibri" w:hAnsi="Calibri" w:cs="Calibri"/>
                <w:color w:val="000000"/>
                <w:sz w:val="24"/>
              </w:rPr>
              <w:t>Senate, June 2024</w:t>
            </w:r>
          </w:p>
        </w:tc>
        <w:tc>
          <w:tcPr>
            <w:tcW w:w="3321" w:type="dxa"/>
          </w:tcPr>
          <w:p w:rsidRPr="00657B18" w:rsidR="00446E79" w:rsidP="00387984" w:rsidRDefault="00446E79" w14:paraId="154B2535" w14:textId="77777777">
            <w:pPr>
              <w:spacing w:before="120" w:after="120"/>
              <w:jc w:val="left"/>
              <w:rPr>
                <w:rFonts w:ascii="Calibri" w:hAnsi="Calibri" w:cs="Calibri"/>
                <w:color w:val="FF0000"/>
                <w:sz w:val="24"/>
              </w:rPr>
            </w:pPr>
            <w:r w:rsidRPr="00657B18">
              <w:rPr>
                <w:rFonts w:ascii="Calibri" w:hAnsi="Calibri" w:cs="Calibri"/>
                <w:color w:val="000000"/>
                <w:sz w:val="24"/>
              </w:rPr>
              <w:t xml:space="preserve">Implementation: </w:t>
            </w:r>
            <w:r w:rsidRPr="00EE7B95">
              <w:rPr>
                <w:rFonts w:ascii="Calibri" w:hAnsi="Calibri" w:cs="Calibri"/>
                <w:b/>
                <w:bCs/>
                <w:color w:val="000000"/>
                <w:sz w:val="24"/>
              </w:rPr>
              <w:t>Sept 2024</w:t>
            </w:r>
          </w:p>
          <w:p w:rsidRPr="00657B18" w:rsidR="00446E79" w:rsidP="00387984" w:rsidRDefault="00446E79" w14:paraId="7EDF0CAA" w14:textId="30C9A588">
            <w:pPr>
              <w:spacing w:before="120" w:after="120"/>
              <w:jc w:val="left"/>
              <w:rPr>
                <w:rFonts w:ascii="Calibri" w:hAnsi="Calibri" w:cs="Calibri"/>
                <w:color w:val="000000"/>
                <w:sz w:val="24"/>
              </w:rPr>
            </w:pPr>
            <w:r w:rsidRPr="00657B18">
              <w:rPr>
                <w:rFonts w:ascii="Calibri" w:hAnsi="Calibri" w:cs="Calibri"/>
                <w:color w:val="000000"/>
                <w:sz w:val="24"/>
              </w:rPr>
              <w:t xml:space="preserve">Application to collaborative provision: </w:t>
            </w:r>
            <w:r w:rsidR="006A3A33">
              <w:rPr>
                <w:rFonts w:ascii="Calibri" w:hAnsi="Calibri" w:cs="Calibri"/>
                <w:color w:val="000000"/>
                <w:sz w:val="24"/>
              </w:rPr>
              <w:t>mandatory</w:t>
            </w:r>
          </w:p>
        </w:tc>
      </w:tr>
    </w:tbl>
    <w:p w:rsidR="00446E79" w:rsidP="00446E79" w:rsidRDefault="00446E79" w14:paraId="0B0F0E95" w14:textId="77777777">
      <w:pPr>
        <w:keepNext/>
        <w:outlineLvl w:val="1"/>
        <w:rPr>
          <w:rFonts w:cs="Arial"/>
          <w:b/>
          <w:bCs/>
          <w:iCs/>
          <w:color w:val="0070C0"/>
          <w:szCs w:val="28"/>
        </w:rPr>
      </w:pPr>
    </w:p>
    <w:p w:rsidR="00446E79" w:rsidP="00446E79" w:rsidRDefault="00446E79" w14:paraId="20446BA1" w14:textId="449B0B58">
      <w:pPr>
        <w:keepNext/>
        <w:outlineLvl w:val="1"/>
        <w:rPr>
          <w:rFonts w:cs="Arial"/>
          <w:b/>
          <w:bCs/>
          <w:iCs/>
          <w:color w:val="0070C0"/>
          <w:szCs w:val="28"/>
        </w:rPr>
      </w:pPr>
      <w:bookmarkStart w:name="_Toc174628997" w:id="14"/>
      <w:r>
        <w:rPr>
          <w:rFonts w:cs="Arial"/>
          <w:b/>
          <w:bCs/>
          <w:iCs/>
          <w:color w:val="0070C0"/>
          <w:szCs w:val="28"/>
        </w:rPr>
        <w:t>MONITORING AND ENHANCEMENT</w:t>
      </w:r>
      <w:bookmarkEnd w:id="14"/>
      <w:r>
        <w:rPr>
          <w:rFonts w:cs="Arial"/>
          <w:b/>
          <w:bCs/>
          <w:iCs/>
          <w:color w:val="0070C0"/>
          <w:szCs w:val="28"/>
        </w:rPr>
        <w:t xml:space="preserve"> </w:t>
      </w:r>
    </w:p>
    <w:p w:rsidRPr="001D26D8" w:rsidR="00446E79" w:rsidP="00446E79" w:rsidRDefault="00446E79" w14:paraId="66C223FB" w14:textId="77777777">
      <w:pPr>
        <w:keepNext/>
        <w:outlineLvl w:val="1"/>
        <w:rPr>
          <w:rFonts w:cs="Arial"/>
          <w:b/>
          <w:bCs/>
          <w:iCs/>
          <w:color w:val="0070C0"/>
          <w:szCs w:val="28"/>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446E79" w:rsidTr="00387984" w14:paraId="43C752E7" w14:textId="77777777">
        <w:trPr>
          <w:tblHeader/>
        </w:trPr>
        <w:tc>
          <w:tcPr>
            <w:tcW w:w="3470" w:type="dxa"/>
            <w:shd w:val="clear" w:color="auto" w:fill="D0CECE"/>
          </w:tcPr>
          <w:p w:rsidRPr="001D26D8" w:rsidR="00446E79" w:rsidP="00387984" w:rsidRDefault="00446E79" w14:paraId="7BE1CACA"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446E79" w:rsidP="00387984" w:rsidRDefault="00446E79" w14:paraId="202D9647" w14:textId="77777777">
            <w:pPr>
              <w:jc w:val="center"/>
              <w:rPr>
                <w:rFonts w:cs="Arial"/>
                <w:sz w:val="22"/>
                <w:szCs w:val="22"/>
              </w:rPr>
            </w:pPr>
            <w:r w:rsidRPr="001D26D8">
              <w:rPr>
                <w:b/>
                <w:sz w:val="22"/>
                <w:szCs w:val="22"/>
              </w:rPr>
              <w:t>Details</w:t>
            </w:r>
          </w:p>
        </w:tc>
        <w:tc>
          <w:tcPr>
            <w:tcW w:w="3321" w:type="dxa"/>
            <w:shd w:val="clear" w:color="auto" w:fill="D0CECE"/>
          </w:tcPr>
          <w:p w:rsidRPr="001D26D8" w:rsidR="00446E79" w:rsidP="00387984" w:rsidRDefault="00446E79" w14:paraId="0FEAF50B" w14:textId="77777777">
            <w:pPr>
              <w:jc w:val="center"/>
              <w:rPr>
                <w:color w:val="000000"/>
                <w:sz w:val="22"/>
                <w:szCs w:val="22"/>
              </w:rPr>
            </w:pPr>
            <w:r w:rsidRPr="001D26D8">
              <w:rPr>
                <w:b/>
                <w:sz w:val="22"/>
                <w:szCs w:val="22"/>
              </w:rPr>
              <w:t>Implementation</w:t>
            </w:r>
          </w:p>
        </w:tc>
      </w:tr>
      <w:tr w:rsidRPr="001D26D8" w:rsidR="00446E79" w:rsidTr="00387984" w14:paraId="777CF472" w14:textId="77777777">
        <w:tc>
          <w:tcPr>
            <w:tcW w:w="3470" w:type="dxa"/>
            <w:shd w:val="clear" w:color="auto" w:fill="auto"/>
          </w:tcPr>
          <w:p w:rsidRPr="00150EFB" w:rsidR="00446E79" w:rsidP="00387984" w:rsidRDefault="00446E79" w14:paraId="50C452B1"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Code of Practice: Developmental Engagement with Subjects (DES)</w:t>
            </w:r>
          </w:p>
        </w:tc>
        <w:tc>
          <w:tcPr>
            <w:tcW w:w="7157" w:type="dxa"/>
            <w:shd w:val="clear" w:color="auto" w:fill="auto"/>
          </w:tcPr>
          <w:p w:rsidR="00446E79" w:rsidP="00387984" w:rsidRDefault="00446E79" w14:paraId="16A523EC"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developed a new Code of Practice for the Developmental Engagement with Subjects (DES).</w:t>
            </w:r>
          </w:p>
          <w:p w:rsidR="00446E79" w:rsidP="00387984" w:rsidRDefault="00446E79" w14:paraId="585FE37C" w14:textId="77777777">
            <w:pPr>
              <w:jc w:val="left"/>
              <w:rPr>
                <w:rFonts w:ascii="Calibri" w:hAnsi="Calibri" w:cs="Calibri"/>
                <w:sz w:val="24"/>
              </w:rPr>
            </w:pPr>
          </w:p>
          <w:p w:rsidRPr="00A55481" w:rsidR="00446E79" w:rsidP="00387984" w:rsidRDefault="00446E79" w14:paraId="71A6E236" w14:textId="77777777">
            <w:pPr>
              <w:jc w:val="left"/>
              <w:rPr>
                <w:rFonts w:ascii="Calibri" w:hAnsi="Calibri" w:cs="Calibri"/>
                <w:sz w:val="24"/>
              </w:rPr>
            </w:pPr>
            <w:r w:rsidRPr="00A55481">
              <w:rPr>
                <w:rFonts w:ascii="Calibri" w:hAnsi="Calibri" w:cs="Calibri"/>
                <w:sz w:val="24"/>
              </w:rPr>
              <w:lastRenderedPageBreak/>
              <w:t>The DES process is a revised approach to the previous Periodic Review process. The DES process has been a pilot exercise in academic year 2022-23 with History and Economics being the first subject areas to conclude the process.</w:t>
            </w:r>
          </w:p>
          <w:p w:rsidRPr="00A55481" w:rsidR="00446E79" w:rsidP="00387984" w:rsidRDefault="00446E79" w14:paraId="2A412D7A" w14:textId="77777777">
            <w:pPr>
              <w:jc w:val="left"/>
              <w:rPr>
                <w:rFonts w:ascii="Calibri" w:hAnsi="Calibri" w:cs="Calibri"/>
                <w:sz w:val="24"/>
              </w:rPr>
            </w:pPr>
          </w:p>
          <w:p w:rsidRPr="00A55481" w:rsidR="00446E79" w:rsidP="00387984" w:rsidRDefault="00446E79" w14:paraId="217A5E8A" w14:textId="77777777">
            <w:pPr>
              <w:jc w:val="left"/>
              <w:rPr>
                <w:rFonts w:ascii="Calibri" w:hAnsi="Calibri" w:cs="Calibri"/>
                <w:sz w:val="24"/>
              </w:rPr>
            </w:pPr>
            <w:r w:rsidRPr="00A55481">
              <w:rPr>
                <w:rFonts w:ascii="Calibri" w:hAnsi="Calibri" w:cs="Calibri"/>
                <w:sz w:val="24"/>
              </w:rPr>
              <w:t>Th</w:t>
            </w:r>
            <w:r>
              <w:rPr>
                <w:rFonts w:ascii="Calibri" w:hAnsi="Calibri" w:cs="Calibri"/>
                <w:sz w:val="24"/>
              </w:rPr>
              <w:t>is</w:t>
            </w:r>
            <w:r w:rsidRPr="00A55481">
              <w:rPr>
                <w:rFonts w:ascii="Calibri" w:hAnsi="Calibri" w:cs="Calibri"/>
                <w:sz w:val="24"/>
              </w:rPr>
              <w:t xml:space="preserve"> new Code of Practice has been developed on the principles of the previous code and on feedback from the first two DES reviews.</w:t>
            </w:r>
          </w:p>
          <w:p w:rsidR="00446E79" w:rsidP="00387984" w:rsidRDefault="00446E79" w14:paraId="6E8996F7" w14:textId="77777777">
            <w:pPr>
              <w:pStyle w:val="ListParagraph"/>
              <w:jc w:val="right"/>
              <w:rPr>
                <w:rFonts w:ascii="Calibri" w:hAnsi="Calibri" w:cs="Calibri"/>
                <w:sz w:val="24"/>
              </w:rPr>
            </w:pPr>
          </w:p>
          <w:p w:rsidR="00446E79" w:rsidP="00387984" w:rsidRDefault="00446E79" w14:paraId="2F7182D5"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1D26D8" w:rsidR="00446E79" w:rsidP="00387984" w:rsidRDefault="00446E79" w14:paraId="30B4FE05" w14:textId="77777777">
            <w:pPr>
              <w:pStyle w:val="ListParagraph"/>
              <w:jc w:val="right"/>
              <w:rPr>
                <w:rFonts w:ascii="Calibri" w:hAnsi="Calibri" w:cs="Calibri"/>
                <w:sz w:val="24"/>
              </w:rPr>
            </w:pPr>
            <w:r>
              <w:rPr>
                <w:rFonts w:ascii="Calibri" w:hAnsi="Calibri" w:cs="Calibri"/>
                <w:sz w:val="24"/>
              </w:rPr>
              <w:t xml:space="preserve">Oct </w:t>
            </w:r>
            <w:r w:rsidRPr="00542863">
              <w:rPr>
                <w:rFonts w:ascii="Calibri" w:hAnsi="Calibri" w:cs="Calibri"/>
                <w:sz w:val="24"/>
              </w:rPr>
              <w:t>2023</w:t>
            </w:r>
          </w:p>
        </w:tc>
        <w:tc>
          <w:tcPr>
            <w:tcW w:w="3321" w:type="dxa"/>
            <w:shd w:val="clear" w:color="auto" w:fill="auto"/>
          </w:tcPr>
          <w:p w:rsidRPr="00B16CE8" w:rsidR="00446E79" w:rsidP="00387984" w:rsidRDefault="00446E79" w14:paraId="2A81DB16"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Pr>
                <w:rFonts w:ascii="Calibri" w:hAnsi="Calibri" w:cs="Calibri"/>
                <w:color w:val="000000"/>
                <w:sz w:val="24"/>
              </w:rPr>
              <w:t>immediate</w:t>
            </w:r>
          </w:p>
          <w:p w:rsidRPr="001D26D8" w:rsidR="00446E79" w:rsidP="00387984" w:rsidRDefault="00446E79" w14:paraId="52BEA997"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for information</w:t>
            </w:r>
          </w:p>
        </w:tc>
      </w:tr>
    </w:tbl>
    <w:p w:rsidR="00446E79" w:rsidP="00446E79" w:rsidRDefault="00446E79" w14:paraId="06C283AE" w14:textId="77777777">
      <w:pPr>
        <w:pStyle w:val="Heading4"/>
        <w:numPr>
          <w:ilvl w:val="0"/>
          <w:numId w:val="0"/>
        </w:numPr>
        <w:ind w:left="567"/>
        <w:rPr>
          <w:lang w:eastAsia="en-US"/>
        </w:rPr>
      </w:pPr>
    </w:p>
    <w:p w:rsidRPr="00657B18" w:rsidR="00446E79" w:rsidP="00446E79" w:rsidRDefault="00446E79" w14:paraId="788170A2" w14:textId="77777777">
      <w:pPr>
        <w:keepNext/>
        <w:outlineLvl w:val="1"/>
        <w:rPr>
          <w:rFonts w:cs="Arial"/>
          <w:bCs/>
          <w:iCs/>
          <w:color w:val="0070C0"/>
          <w:sz w:val="24"/>
        </w:rPr>
      </w:pPr>
      <w:bookmarkStart w:name="_Toc169006576" w:id="15"/>
      <w:bookmarkStart w:name="_Toc174628998" w:id="16"/>
      <w:r>
        <w:rPr>
          <w:rFonts w:cs="Arial"/>
          <w:b/>
          <w:bCs/>
          <w:iCs/>
          <w:color w:val="0070C0"/>
          <w:sz w:val="24"/>
        </w:rPr>
        <w:t>RESEARCH DEGREES</w:t>
      </w:r>
      <w:bookmarkEnd w:id="15"/>
      <w:bookmarkEnd w:id="16"/>
    </w:p>
    <w:p w:rsidRPr="00657B18" w:rsidR="00446E79" w:rsidP="00446E79" w:rsidRDefault="00446E79" w14:paraId="18CAE094"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657B18" w:rsidR="00446E79" w:rsidTr="00387984" w14:paraId="7EFE90A1" w14:textId="77777777">
        <w:tc>
          <w:tcPr>
            <w:tcW w:w="3539" w:type="dxa"/>
            <w:shd w:val="clear" w:color="auto" w:fill="D0CECE"/>
            <w:vAlign w:val="center"/>
          </w:tcPr>
          <w:p w:rsidRPr="00657B18" w:rsidR="00446E79" w:rsidP="00387984" w:rsidRDefault="00446E79" w14:paraId="3A164CA2" w14:textId="77777777">
            <w:pPr>
              <w:jc w:val="center"/>
              <w:rPr>
                <w:rFonts w:cs="Arial"/>
                <w:b/>
                <w:bCs/>
                <w:sz w:val="22"/>
                <w:szCs w:val="22"/>
              </w:rPr>
            </w:pPr>
            <w:r w:rsidRPr="00657B18">
              <w:rPr>
                <w:rFonts w:cs="Arial"/>
                <w:b/>
                <w:bCs/>
                <w:sz w:val="22"/>
                <w:szCs w:val="22"/>
              </w:rPr>
              <w:t>Quality Handbook</w:t>
            </w:r>
          </w:p>
        </w:tc>
        <w:tc>
          <w:tcPr>
            <w:tcW w:w="7088" w:type="dxa"/>
            <w:shd w:val="clear" w:color="auto" w:fill="D0CECE"/>
            <w:vAlign w:val="center"/>
          </w:tcPr>
          <w:p w:rsidRPr="00657B18" w:rsidR="00446E79" w:rsidP="00387984" w:rsidRDefault="00446E79" w14:paraId="0486A58B" w14:textId="77777777">
            <w:pPr>
              <w:jc w:val="center"/>
              <w:rPr>
                <w:b/>
                <w:bCs/>
                <w:color w:val="000000"/>
                <w:sz w:val="22"/>
                <w:szCs w:val="22"/>
              </w:rPr>
            </w:pPr>
            <w:r w:rsidRPr="00657B18">
              <w:rPr>
                <w:rFonts w:cs="Arial"/>
                <w:b/>
                <w:bCs/>
                <w:sz w:val="22"/>
                <w:szCs w:val="22"/>
              </w:rPr>
              <w:t xml:space="preserve">Details </w:t>
            </w:r>
          </w:p>
        </w:tc>
        <w:tc>
          <w:tcPr>
            <w:tcW w:w="3321" w:type="dxa"/>
            <w:shd w:val="clear" w:color="auto" w:fill="D0CECE"/>
            <w:vAlign w:val="center"/>
          </w:tcPr>
          <w:p w:rsidRPr="00657B18" w:rsidR="00446E79" w:rsidP="00387984" w:rsidRDefault="00446E79" w14:paraId="3C896BEF" w14:textId="77777777">
            <w:pPr>
              <w:jc w:val="center"/>
              <w:rPr>
                <w:b/>
                <w:bCs/>
                <w:color w:val="000000"/>
                <w:sz w:val="22"/>
                <w:szCs w:val="22"/>
              </w:rPr>
            </w:pPr>
            <w:r w:rsidRPr="00657B18">
              <w:rPr>
                <w:b/>
                <w:bCs/>
                <w:color w:val="000000"/>
                <w:sz w:val="22"/>
                <w:szCs w:val="22"/>
              </w:rPr>
              <w:t xml:space="preserve">Implementation </w:t>
            </w:r>
          </w:p>
        </w:tc>
      </w:tr>
      <w:tr w:rsidRPr="00657B18" w:rsidR="00446E79" w:rsidTr="00387984" w14:paraId="418965E2" w14:textId="77777777">
        <w:tc>
          <w:tcPr>
            <w:tcW w:w="3539" w:type="dxa"/>
            <w:shd w:val="clear" w:color="auto" w:fill="auto"/>
          </w:tcPr>
          <w:p w:rsidRPr="00657B18" w:rsidR="00446E79" w:rsidP="00387984" w:rsidRDefault="00446E79" w14:paraId="06FF6468" w14:textId="77777777">
            <w:pPr>
              <w:jc w:val="left"/>
              <w:rPr>
                <w:rFonts w:ascii="Calibri" w:hAnsi="Calibri" w:cs="Calibri"/>
                <w:b/>
                <w:bCs/>
                <w:sz w:val="24"/>
              </w:rPr>
            </w:pPr>
            <w:r w:rsidRPr="00657B18">
              <w:rPr>
                <w:rFonts w:ascii="Calibri" w:hAnsi="Calibri" w:cs="Calibri"/>
                <w:b/>
                <w:bCs/>
                <w:sz w:val="24"/>
              </w:rPr>
              <w:t xml:space="preserve">University </w:t>
            </w:r>
            <w:r>
              <w:rPr>
                <w:rFonts w:ascii="Calibri" w:hAnsi="Calibri" w:cs="Calibri"/>
                <w:b/>
                <w:bCs/>
                <w:sz w:val="24"/>
              </w:rPr>
              <w:t>Code of Practice: Research Degrees Termination of Candidature</w:t>
            </w:r>
          </w:p>
        </w:tc>
        <w:tc>
          <w:tcPr>
            <w:tcW w:w="7088" w:type="dxa"/>
            <w:shd w:val="clear" w:color="auto" w:fill="auto"/>
          </w:tcPr>
          <w:p w:rsidR="00446E79" w:rsidP="00387984" w:rsidRDefault="00446E79" w14:paraId="0EBB9D43" w14:textId="77777777">
            <w:pPr>
              <w:jc w:val="left"/>
              <w:rPr>
                <w:rFonts w:ascii="Calibri" w:hAnsi="Calibri" w:cs="Calibri"/>
                <w:sz w:val="24"/>
              </w:rPr>
            </w:pPr>
            <w:r w:rsidRPr="00657B18">
              <w:rPr>
                <w:rFonts w:ascii="Calibri" w:hAnsi="Calibri" w:cs="Calibri"/>
                <w:sz w:val="24"/>
              </w:rPr>
              <w:t xml:space="preserve">The University has revised its </w:t>
            </w:r>
            <w:r w:rsidRPr="004948D7">
              <w:rPr>
                <w:rFonts w:ascii="Calibri" w:hAnsi="Calibri" w:cs="Calibri"/>
                <w:sz w:val="24"/>
              </w:rPr>
              <w:t>University Code of Practice: Research Degrees Termination of Candidature</w:t>
            </w:r>
            <w:r>
              <w:rPr>
                <w:rFonts w:ascii="Calibri" w:hAnsi="Calibri" w:cs="Calibri"/>
                <w:sz w:val="24"/>
              </w:rPr>
              <w:t>.</w:t>
            </w:r>
          </w:p>
          <w:p w:rsidR="00446E79" w:rsidP="00387984" w:rsidRDefault="00446E79" w14:paraId="4E8CBEA6" w14:textId="77777777">
            <w:pPr>
              <w:jc w:val="left"/>
              <w:rPr>
                <w:rFonts w:ascii="Calibri" w:hAnsi="Calibri" w:cs="Calibri"/>
                <w:sz w:val="24"/>
              </w:rPr>
            </w:pPr>
          </w:p>
          <w:p w:rsidR="00446E79" w:rsidP="00387984" w:rsidRDefault="00446E79" w14:paraId="087ABFB3" w14:textId="77777777">
            <w:pPr>
              <w:jc w:val="left"/>
              <w:rPr>
                <w:rFonts w:ascii="Calibri" w:hAnsi="Calibri" w:cs="Calibri"/>
                <w:color w:val="000000"/>
                <w:sz w:val="24"/>
              </w:rPr>
            </w:pPr>
            <w:r>
              <w:rPr>
                <w:rFonts w:ascii="Calibri" w:hAnsi="Calibri" w:cs="Calibri"/>
                <w:color w:val="000000"/>
                <w:sz w:val="24"/>
              </w:rPr>
              <w:t>Revisions include:</w:t>
            </w:r>
          </w:p>
          <w:p w:rsidRPr="00836DE7" w:rsidR="00446E79" w:rsidP="009041E6" w:rsidRDefault="00446E79" w14:paraId="6818DDE3"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C</w:t>
            </w:r>
            <w:r w:rsidRPr="00836DE7">
              <w:rPr>
                <w:rFonts w:ascii="Calibri" w:hAnsi="Calibri" w:cs="Calibri"/>
                <w:color w:val="000000"/>
                <w:sz w:val="24"/>
              </w:rPr>
              <w:t>onfirm</w:t>
            </w:r>
            <w:r>
              <w:rPr>
                <w:rFonts w:ascii="Calibri" w:hAnsi="Calibri" w:cs="Calibri"/>
                <w:color w:val="000000"/>
                <w:sz w:val="24"/>
              </w:rPr>
              <w:t xml:space="preserve">s </w:t>
            </w:r>
            <w:r w:rsidRPr="00836DE7">
              <w:rPr>
                <w:rFonts w:ascii="Calibri" w:hAnsi="Calibri" w:cs="Calibri"/>
                <w:color w:val="000000"/>
                <w:sz w:val="24"/>
              </w:rPr>
              <w:t>correspondence with candidates will be via</w:t>
            </w:r>
            <w:r>
              <w:rPr>
                <w:rFonts w:ascii="Calibri" w:hAnsi="Calibri" w:cs="Calibri"/>
                <w:color w:val="000000"/>
                <w:sz w:val="24"/>
              </w:rPr>
              <w:t xml:space="preserve"> </w:t>
            </w:r>
            <w:r w:rsidRPr="00836DE7">
              <w:rPr>
                <w:rFonts w:ascii="Calibri" w:hAnsi="Calibri" w:cs="Calibri"/>
                <w:color w:val="000000"/>
                <w:sz w:val="24"/>
              </w:rPr>
              <w:t xml:space="preserve">email, in line with Student Contract </w:t>
            </w:r>
            <w:r>
              <w:rPr>
                <w:rFonts w:ascii="Calibri" w:hAnsi="Calibri" w:cs="Calibri"/>
                <w:color w:val="000000"/>
                <w:sz w:val="24"/>
              </w:rPr>
              <w:t>(1.6).</w:t>
            </w:r>
          </w:p>
          <w:p w:rsidRPr="00836DE7" w:rsidR="00446E79" w:rsidP="009041E6" w:rsidRDefault="00446E79" w14:paraId="1D053F95" w14:textId="77777777">
            <w:pPr>
              <w:pStyle w:val="ListParagraph"/>
              <w:numPr>
                <w:ilvl w:val="0"/>
                <w:numId w:val="8"/>
              </w:numPr>
              <w:jc w:val="left"/>
              <w:rPr>
                <w:rFonts w:ascii="Calibri" w:hAnsi="Calibri" w:cs="Calibri"/>
                <w:color w:val="000000"/>
                <w:sz w:val="24"/>
              </w:rPr>
            </w:pPr>
            <w:r w:rsidRPr="00836DE7">
              <w:rPr>
                <w:rFonts w:ascii="Calibri" w:hAnsi="Calibri" w:cs="Calibri"/>
                <w:color w:val="000000"/>
                <w:sz w:val="24"/>
              </w:rPr>
              <w:t>Additional clause added to allow for reasonable adjustments in the conduct of AMPs and EPMs for disabled PGRs (3.7).</w:t>
            </w:r>
          </w:p>
          <w:p w:rsidR="00446E79" w:rsidP="009041E6" w:rsidRDefault="00446E79" w14:paraId="6D65031B"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R</w:t>
            </w:r>
            <w:r w:rsidRPr="004948D7">
              <w:rPr>
                <w:rFonts w:ascii="Calibri" w:hAnsi="Calibri" w:cs="Calibri"/>
                <w:color w:val="000000"/>
                <w:sz w:val="24"/>
              </w:rPr>
              <w:t xml:space="preserve">equirement for 12 supervision meetings for </w:t>
            </w:r>
            <w:r>
              <w:rPr>
                <w:rFonts w:ascii="Calibri" w:hAnsi="Calibri" w:cs="Calibri"/>
                <w:color w:val="000000"/>
                <w:sz w:val="24"/>
              </w:rPr>
              <w:t>full time</w:t>
            </w:r>
            <w:r w:rsidRPr="004948D7">
              <w:rPr>
                <w:rFonts w:ascii="Calibri" w:hAnsi="Calibri" w:cs="Calibri"/>
                <w:color w:val="000000"/>
                <w:sz w:val="24"/>
              </w:rPr>
              <w:t xml:space="preserve"> and 6 for </w:t>
            </w:r>
            <w:r>
              <w:rPr>
                <w:rFonts w:ascii="Calibri" w:hAnsi="Calibri" w:cs="Calibri"/>
                <w:color w:val="000000"/>
                <w:sz w:val="24"/>
              </w:rPr>
              <w:t xml:space="preserve">part time </w:t>
            </w:r>
            <w:r w:rsidRPr="004948D7">
              <w:rPr>
                <w:rFonts w:ascii="Calibri" w:hAnsi="Calibri" w:cs="Calibri"/>
                <w:color w:val="000000"/>
                <w:sz w:val="24"/>
              </w:rPr>
              <w:t>during research period</w:t>
            </w:r>
            <w:r>
              <w:rPr>
                <w:rFonts w:ascii="Calibri" w:hAnsi="Calibri" w:cs="Calibri"/>
                <w:color w:val="000000"/>
                <w:sz w:val="24"/>
              </w:rPr>
              <w:t>.</w:t>
            </w:r>
            <w:r w:rsidRPr="004948D7">
              <w:rPr>
                <w:rFonts w:ascii="Calibri" w:hAnsi="Calibri" w:cs="Calibri"/>
                <w:color w:val="000000"/>
                <w:sz w:val="24"/>
              </w:rPr>
              <w:t xml:space="preserve"> </w:t>
            </w:r>
            <w:r>
              <w:rPr>
                <w:rFonts w:ascii="Calibri" w:hAnsi="Calibri" w:cs="Calibri"/>
                <w:color w:val="000000"/>
                <w:sz w:val="24"/>
              </w:rPr>
              <w:t>D</w:t>
            </w:r>
            <w:r w:rsidRPr="004948D7">
              <w:rPr>
                <w:rFonts w:ascii="Calibri" w:hAnsi="Calibri" w:cs="Calibri"/>
                <w:color w:val="000000"/>
                <w:sz w:val="24"/>
              </w:rPr>
              <w:t xml:space="preserve">uring the thesis period </w:t>
            </w:r>
            <w:r w:rsidRPr="004948D7">
              <w:rPr>
                <w:rFonts w:ascii="Calibri" w:hAnsi="Calibri" w:cs="Calibri"/>
                <w:color w:val="000000"/>
                <w:sz w:val="24"/>
              </w:rPr>
              <w:lastRenderedPageBreak/>
              <w:t>the number of meetings should be no less than every other month if full time and every 4 months if part time</w:t>
            </w:r>
            <w:r>
              <w:rPr>
                <w:rFonts w:ascii="Calibri" w:hAnsi="Calibri" w:cs="Calibri"/>
                <w:color w:val="000000"/>
                <w:sz w:val="24"/>
              </w:rPr>
              <w:t xml:space="preserve"> (4.1).</w:t>
            </w:r>
          </w:p>
          <w:p w:rsidR="00446E79" w:rsidP="009041E6" w:rsidRDefault="00446E79" w14:paraId="573503B1"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C</w:t>
            </w:r>
            <w:r w:rsidRPr="00836DE7">
              <w:rPr>
                <w:rFonts w:ascii="Calibri" w:hAnsi="Calibri" w:cs="Calibri"/>
                <w:color w:val="000000"/>
                <w:sz w:val="24"/>
              </w:rPr>
              <w:t>larif</w:t>
            </w:r>
            <w:r>
              <w:rPr>
                <w:rFonts w:ascii="Calibri" w:hAnsi="Calibri" w:cs="Calibri"/>
                <w:color w:val="000000"/>
                <w:sz w:val="24"/>
              </w:rPr>
              <w:t>ies</w:t>
            </w:r>
            <w:r w:rsidRPr="00836DE7">
              <w:rPr>
                <w:rFonts w:ascii="Calibri" w:hAnsi="Calibri" w:cs="Calibri"/>
                <w:color w:val="000000"/>
                <w:sz w:val="24"/>
              </w:rPr>
              <w:t xml:space="preserve"> that only GRD’s serving as ex officio members of RDC can request University Warnings</w:t>
            </w:r>
            <w:r>
              <w:rPr>
                <w:rFonts w:ascii="Calibri" w:hAnsi="Calibri" w:cs="Calibri"/>
                <w:color w:val="000000"/>
                <w:sz w:val="24"/>
              </w:rPr>
              <w:t xml:space="preserve"> (4.4/4.7)</w:t>
            </w:r>
            <w:r w:rsidRPr="00836DE7">
              <w:rPr>
                <w:rFonts w:ascii="Calibri" w:hAnsi="Calibri" w:cs="Calibri"/>
                <w:color w:val="000000"/>
                <w:sz w:val="24"/>
              </w:rPr>
              <w:t>.</w:t>
            </w:r>
          </w:p>
          <w:p w:rsidR="00446E79" w:rsidP="009041E6" w:rsidRDefault="00446E79" w14:paraId="27DB71E6" w14:textId="77777777">
            <w:pPr>
              <w:pStyle w:val="ListParagraph"/>
              <w:numPr>
                <w:ilvl w:val="0"/>
                <w:numId w:val="8"/>
              </w:numPr>
              <w:jc w:val="left"/>
              <w:rPr>
                <w:rFonts w:ascii="Calibri" w:hAnsi="Calibri" w:cs="Calibri"/>
                <w:color w:val="000000"/>
                <w:sz w:val="24"/>
              </w:rPr>
            </w:pPr>
            <w:r w:rsidRPr="00836DE7">
              <w:rPr>
                <w:rFonts w:ascii="Calibri" w:hAnsi="Calibri" w:cs="Calibri"/>
                <w:color w:val="000000"/>
                <w:sz w:val="24"/>
              </w:rPr>
              <w:t xml:space="preserve">Time </w:t>
            </w:r>
            <w:r>
              <w:rPr>
                <w:rFonts w:ascii="Calibri" w:hAnsi="Calibri" w:cs="Calibri"/>
                <w:color w:val="000000"/>
                <w:sz w:val="24"/>
              </w:rPr>
              <w:t xml:space="preserve">period for </w:t>
            </w:r>
            <w:r w:rsidRPr="00836DE7">
              <w:rPr>
                <w:rFonts w:ascii="Calibri" w:hAnsi="Calibri" w:cs="Calibri"/>
                <w:color w:val="000000"/>
                <w:sz w:val="24"/>
              </w:rPr>
              <w:t>PGRs to comply with warnings changed from 20 days to 10</w:t>
            </w:r>
            <w:r>
              <w:rPr>
                <w:rFonts w:ascii="Calibri" w:hAnsi="Calibri" w:cs="Calibri"/>
                <w:color w:val="000000"/>
                <w:sz w:val="24"/>
              </w:rPr>
              <w:t xml:space="preserve"> days (5.4)</w:t>
            </w:r>
            <w:r w:rsidRPr="00836DE7">
              <w:rPr>
                <w:rFonts w:ascii="Calibri" w:hAnsi="Calibri" w:cs="Calibri"/>
                <w:color w:val="000000"/>
                <w:sz w:val="24"/>
              </w:rPr>
              <w:t>.</w:t>
            </w:r>
          </w:p>
          <w:p w:rsidRPr="00C961F2" w:rsidR="00446E79" w:rsidP="009041E6" w:rsidRDefault="00446E79" w14:paraId="28AD3ACE"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 xml:space="preserve">Amended to note that the </w:t>
            </w:r>
            <w:r w:rsidRPr="00836DE7">
              <w:rPr>
                <w:rFonts w:ascii="Calibri" w:hAnsi="Calibri" w:cs="Calibri"/>
                <w:color w:val="000000"/>
                <w:sz w:val="24"/>
              </w:rPr>
              <w:t>Chair of RDC nominates PGR for possible termination rather than Faculty, and also to make clear rejection of extension request may lead to termination</w:t>
            </w:r>
            <w:r>
              <w:rPr>
                <w:rFonts w:ascii="Calibri" w:hAnsi="Calibri" w:cs="Calibri"/>
                <w:color w:val="000000"/>
                <w:sz w:val="24"/>
              </w:rPr>
              <w:t xml:space="preserve"> (6.1)</w:t>
            </w:r>
            <w:r w:rsidRPr="00836DE7">
              <w:rPr>
                <w:rFonts w:ascii="Calibri" w:hAnsi="Calibri" w:cs="Calibri"/>
                <w:color w:val="000000"/>
                <w:sz w:val="24"/>
              </w:rPr>
              <w:t>.</w:t>
            </w:r>
          </w:p>
          <w:p w:rsidRPr="00836DE7" w:rsidR="00446E79" w:rsidP="00387984" w:rsidRDefault="00446E79" w14:paraId="18B5B7CC" w14:textId="77777777">
            <w:pPr>
              <w:pStyle w:val="ListParagraph"/>
              <w:jc w:val="right"/>
              <w:rPr>
                <w:rFonts w:ascii="Calibri" w:hAnsi="Calibri" w:cs="Calibri"/>
                <w:sz w:val="24"/>
              </w:rPr>
            </w:pPr>
            <w:r>
              <w:rPr>
                <w:rFonts w:ascii="Calibri" w:hAnsi="Calibri" w:cs="Calibri"/>
                <w:sz w:val="24"/>
              </w:rPr>
              <w:t xml:space="preserve">University Research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tcPr>
          <w:p w:rsidRPr="00657B18" w:rsidR="00446E79" w:rsidP="00387984" w:rsidRDefault="00446E79" w14:paraId="0E58C11D" w14:textId="77777777">
            <w:pPr>
              <w:spacing w:before="120" w:after="120"/>
              <w:jc w:val="left"/>
              <w:rPr>
                <w:rFonts w:ascii="Calibri" w:hAnsi="Calibri" w:cs="Calibri"/>
                <w:color w:val="FF0000"/>
                <w:sz w:val="24"/>
              </w:rPr>
            </w:pPr>
            <w:r w:rsidRPr="00657B18">
              <w:rPr>
                <w:rFonts w:ascii="Calibri" w:hAnsi="Calibri" w:cs="Calibri"/>
                <w:color w:val="000000"/>
                <w:sz w:val="24"/>
              </w:rPr>
              <w:lastRenderedPageBreak/>
              <w:t xml:space="preserve">Implementation: </w:t>
            </w:r>
            <w:r w:rsidRPr="00691860">
              <w:rPr>
                <w:rFonts w:ascii="Calibri" w:hAnsi="Calibri" w:cs="Calibri"/>
                <w:b/>
                <w:bCs/>
                <w:color w:val="000000"/>
                <w:sz w:val="24"/>
              </w:rPr>
              <w:t>immediate</w:t>
            </w:r>
          </w:p>
          <w:p w:rsidRPr="00657B18" w:rsidR="00446E79" w:rsidP="00387984" w:rsidRDefault="00446E79" w14:paraId="7DF52B41" w14:textId="77777777">
            <w:pPr>
              <w:spacing w:before="120" w:after="120"/>
              <w:jc w:val="left"/>
              <w:rPr>
                <w:rFonts w:ascii="Calibri" w:hAnsi="Calibri" w:cs="Calibri"/>
                <w:color w:val="000000"/>
                <w:sz w:val="24"/>
              </w:rPr>
            </w:pPr>
            <w:r w:rsidRPr="00657B18">
              <w:rPr>
                <w:rFonts w:ascii="Calibri" w:hAnsi="Calibri" w:cs="Calibri"/>
                <w:color w:val="000000"/>
                <w:sz w:val="24"/>
              </w:rPr>
              <w:t xml:space="preserve">Application to collaborative provision: </w:t>
            </w:r>
            <w:r>
              <w:rPr>
                <w:rFonts w:ascii="Calibri" w:hAnsi="Calibri" w:cs="Calibri"/>
                <w:color w:val="000000"/>
                <w:sz w:val="24"/>
              </w:rPr>
              <w:t>not applicable</w:t>
            </w:r>
          </w:p>
        </w:tc>
      </w:tr>
    </w:tbl>
    <w:p w:rsidRPr="00446E79" w:rsidR="00446E79" w:rsidP="00446E79" w:rsidRDefault="00446E79" w14:paraId="367A1DDE" w14:textId="77777777">
      <w:pPr>
        <w:pStyle w:val="Heading4"/>
        <w:numPr>
          <w:ilvl w:val="0"/>
          <w:numId w:val="0"/>
        </w:numPr>
        <w:rPr>
          <w:lang w:eastAsia="en-US"/>
        </w:rPr>
      </w:pPr>
    </w:p>
    <w:p w:rsidR="00007E32" w:rsidP="00315E8F" w:rsidRDefault="00007E32" w14:paraId="1D369FDE" w14:textId="411388CA">
      <w:pPr>
        <w:pStyle w:val="Heading2"/>
        <w:rPr>
          <w:color w:val="0070C0"/>
        </w:rPr>
      </w:pPr>
    </w:p>
    <w:p w:rsidR="00A91962" w:rsidP="00A91962" w:rsidRDefault="00A91962" w14:paraId="3C2B337C" w14:textId="77777777">
      <w:pPr>
        <w:pStyle w:val="Heading2"/>
        <w:rPr>
          <w:color w:val="0070C0"/>
          <w:szCs w:val="20"/>
        </w:rPr>
      </w:pPr>
      <w:bookmarkStart w:name="_Hlk121989697" w:id="17"/>
    </w:p>
    <w:p w:rsidRPr="00A91962" w:rsidR="004C4C5E" w:rsidP="004C4C5E" w:rsidRDefault="004C4C5E" w14:paraId="2FC5E78C" w14:textId="1E6492C7">
      <w:pPr>
        <w:pStyle w:val="Heading2"/>
        <w:rPr>
          <w:color w:val="0070C0"/>
          <w:szCs w:val="20"/>
        </w:rPr>
      </w:pPr>
      <w:bookmarkStart w:name="_Toc174628999" w:id="18"/>
      <w:r>
        <w:rPr>
          <w:color w:val="0070C0"/>
          <w:szCs w:val="20"/>
        </w:rPr>
        <w:t>STUDENT INFORMATION</w:t>
      </w:r>
      <w:bookmarkEnd w:id="18"/>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4C4C5E" w:rsidTr="00A93566" w14:paraId="363E7DE5" w14:textId="77777777">
        <w:trPr>
          <w:tblHeader/>
        </w:trPr>
        <w:tc>
          <w:tcPr>
            <w:tcW w:w="3470" w:type="dxa"/>
            <w:shd w:val="clear" w:color="auto" w:fill="D0CECE"/>
          </w:tcPr>
          <w:p w:rsidRPr="00C85B48" w:rsidR="004C4C5E" w:rsidP="00A93566" w:rsidRDefault="004C4C5E" w14:paraId="5650B834"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4C4C5E" w:rsidP="00A93566" w:rsidRDefault="004C4C5E" w14:paraId="71B794A1" w14:textId="77777777">
            <w:pPr>
              <w:jc w:val="center"/>
              <w:rPr>
                <w:rFonts w:cs="Arial"/>
                <w:sz w:val="22"/>
                <w:szCs w:val="22"/>
              </w:rPr>
            </w:pPr>
            <w:r w:rsidRPr="00C85B48">
              <w:rPr>
                <w:b/>
                <w:sz w:val="22"/>
                <w:szCs w:val="22"/>
              </w:rPr>
              <w:t>Details</w:t>
            </w:r>
          </w:p>
        </w:tc>
        <w:tc>
          <w:tcPr>
            <w:tcW w:w="3321" w:type="dxa"/>
            <w:shd w:val="clear" w:color="auto" w:fill="D0CECE"/>
          </w:tcPr>
          <w:p w:rsidRPr="00C85B48" w:rsidR="004C4C5E" w:rsidP="00A93566" w:rsidRDefault="004C4C5E" w14:paraId="2ACDDA5A" w14:textId="77777777">
            <w:pPr>
              <w:jc w:val="center"/>
              <w:rPr>
                <w:color w:val="000000"/>
                <w:sz w:val="22"/>
                <w:szCs w:val="22"/>
              </w:rPr>
            </w:pPr>
            <w:r w:rsidRPr="00C85B48">
              <w:rPr>
                <w:b/>
                <w:sz w:val="22"/>
                <w:szCs w:val="22"/>
              </w:rPr>
              <w:t>Implementation</w:t>
            </w:r>
          </w:p>
        </w:tc>
      </w:tr>
      <w:tr w:rsidRPr="00C85B48" w:rsidR="004C4C5E" w:rsidTr="00A93566" w14:paraId="329A5D0C" w14:textId="77777777">
        <w:tc>
          <w:tcPr>
            <w:tcW w:w="3470" w:type="dxa"/>
            <w:shd w:val="clear" w:color="auto" w:fill="auto"/>
          </w:tcPr>
          <w:p w:rsidRPr="00DF0F14" w:rsidR="004C4C5E" w:rsidP="00A93566" w:rsidRDefault="004C4C5E" w14:paraId="167093CF" w14:textId="5AF2DEF5">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 xml:space="preserve">Support for Study Policy </w:t>
            </w:r>
          </w:p>
        </w:tc>
        <w:tc>
          <w:tcPr>
            <w:tcW w:w="7157" w:type="dxa"/>
            <w:shd w:val="clear" w:color="auto" w:fill="auto"/>
          </w:tcPr>
          <w:p w:rsidR="004C4C5E" w:rsidP="00A93566" w:rsidRDefault="00875A28" w14:paraId="77E328F7" w14:textId="36FF4673">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 xml:space="preserve">has </w:t>
            </w:r>
            <w:r w:rsidR="009C452C">
              <w:rPr>
                <w:rFonts w:ascii="Calibri" w:hAnsi="Calibri" w:cs="Calibri"/>
                <w:sz w:val="24"/>
              </w:rPr>
              <w:t>amended its Support for Study Policy to ensure that noted procedures and timelines align to current practice.</w:t>
            </w:r>
          </w:p>
          <w:p w:rsidR="009C452C" w:rsidP="00A93566" w:rsidRDefault="009C452C" w14:paraId="6C3D453E" w14:textId="77777777">
            <w:pPr>
              <w:jc w:val="left"/>
              <w:rPr>
                <w:rFonts w:ascii="Calibri" w:hAnsi="Calibri" w:cs="Calibri"/>
                <w:sz w:val="24"/>
              </w:rPr>
            </w:pPr>
          </w:p>
          <w:p w:rsidRPr="00DF0F14" w:rsidR="004C4C5E" w:rsidP="00A93566" w:rsidRDefault="009C452C" w14:paraId="60A7717B" w14:textId="43C98A1A">
            <w:pPr>
              <w:jc w:val="left"/>
              <w:rPr>
                <w:rFonts w:ascii="Calibri" w:hAnsi="Calibri" w:cs="Calibri"/>
                <w:sz w:val="24"/>
              </w:rPr>
            </w:pPr>
            <w:r w:rsidRPr="009C452C">
              <w:rPr>
                <w:rFonts w:ascii="Calibri" w:hAnsi="Calibri" w:cs="Calibri"/>
                <w:sz w:val="24"/>
              </w:rPr>
              <w:t>The updated policy now follows a two-tiered approach.  Stage 1 is referred to as 'Support for Study,' while Stage 2 is termed ‘Safe to Study.'</w:t>
            </w:r>
          </w:p>
          <w:p w:rsidR="00274864" w:rsidP="00A93566" w:rsidRDefault="004C4C5E" w14:paraId="7FAC1778" w14:textId="77777777">
            <w:pPr>
              <w:contextualSpacing/>
              <w:jc w:val="right"/>
              <w:rPr>
                <w:rFonts w:ascii="Calibri" w:hAnsi="Calibri" w:cs="Calibri"/>
                <w:noProof/>
                <w:sz w:val="24"/>
              </w:rPr>
            </w:pPr>
            <w:r w:rsidRPr="00DF0F14">
              <w:rPr>
                <w:rFonts w:ascii="Calibri" w:hAnsi="Calibri" w:cs="Calibri"/>
                <w:noProof/>
                <w:sz w:val="24"/>
              </w:rPr>
              <w:t xml:space="preserve">Education </w:t>
            </w:r>
            <w:r>
              <w:rPr>
                <w:rFonts w:ascii="Calibri" w:hAnsi="Calibri" w:cs="Calibri"/>
                <w:noProof/>
                <w:sz w:val="24"/>
              </w:rPr>
              <w:t xml:space="preserve">Student Experience </w:t>
            </w:r>
            <w:r w:rsidRPr="00DF0F14">
              <w:rPr>
                <w:rFonts w:ascii="Calibri" w:hAnsi="Calibri" w:cs="Calibri"/>
                <w:noProof/>
                <w:sz w:val="24"/>
              </w:rPr>
              <w:t xml:space="preserve">Committee, </w:t>
            </w:r>
          </w:p>
          <w:p w:rsidR="004C4C5E" w:rsidP="00A93566" w:rsidRDefault="004C4C5E" w14:paraId="2FC8D248" w14:textId="6C226C92">
            <w:pPr>
              <w:contextualSpacing/>
              <w:jc w:val="right"/>
              <w:rPr>
                <w:rFonts w:ascii="Calibri" w:hAnsi="Calibri" w:cs="Calibri"/>
                <w:noProof/>
                <w:sz w:val="24"/>
              </w:rPr>
            </w:pPr>
            <w:r>
              <w:rPr>
                <w:rFonts w:ascii="Calibri" w:hAnsi="Calibri" w:cs="Calibri"/>
                <w:noProof/>
                <w:sz w:val="24"/>
              </w:rPr>
              <w:t>Oct</w:t>
            </w:r>
            <w:r w:rsidRPr="00DF0F14">
              <w:rPr>
                <w:rFonts w:ascii="Calibri" w:hAnsi="Calibri" w:cs="Calibri"/>
                <w:noProof/>
                <w:sz w:val="24"/>
              </w:rPr>
              <w:t xml:space="preserve"> 2023</w:t>
            </w:r>
          </w:p>
          <w:p w:rsidRPr="00DF0F14" w:rsidR="004C4C5E" w:rsidP="001A44D9" w:rsidRDefault="004C4C5E" w14:paraId="12B96F4D" w14:textId="0DEDFAA0">
            <w:pPr>
              <w:contextualSpacing/>
              <w:jc w:val="right"/>
              <w:rPr>
                <w:rFonts w:ascii="Calibri" w:hAnsi="Calibri" w:cs="Calibri"/>
                <w:noProof/>
                <w:sz w:val="24"/>
              </w:rPr>
            </w:pPr>
            <w:r>
              <w:rPr>
                <w:rFonts w:ascii="Calibri" w:hAnsi="Calibri" w:cs="Calibri"/>
                <w:noProof/>
                <w:sz w:val="24"/>
              </w:rPr>
              <w:t>Senate</w:t>
            </w:r>
            <w:r w:rsidR="00274864">
              <w:rPr>
                <w:rFonts w:ascii="Calibri" w:hAnsi="Calibri" w:cs="Calibri"/>
                <w:noProof/>
                <w:sz w:val="24"/>
              </w:rPr>
              <w:t>,</w:t>
            </w:r>
            <w:r w:rsidR="009C452C">
              <w:rPr>
                <w:rFonts w:ascii="Calibri" w:hAnsi="Calibri" w:cs="Calibri"/>
                <w:noProof/>
                <w:sz w:val="24"/>
              </w:rPr>
              <w:t xml:space="preserve"> Nov 2023</w:t>
            </w:r>
            <w:r>
              <w:rPr>
                <w:rFonts w:ascii="Calibri" w:hAnsi="Calibri" w:cs="Calibri"/>
                <w:noProof/>
                <w:sz w:val="24"/>
              </w:rPr>
              <w:t xml:space="preserve"> </w:t>
            </w:r>
          </w:p>
        </w:tc>
        <w:tc>
          <w:tcPr>
            <w:tcW w:w="3321" w:type="dxa"/>
          </w:tcPr>
          <w:p w:rsidRPr="001801CE" w:rsidR="004C4C5E" w:rsidP="00A93566" w:rsidRDefault="004C4C5E" w14:paraId="6EEF9ADC" w14:textId="1BF02C36">
            <w:pPr>
              <w:spacing w:before="120" w:after="120"/>
              <w:jc w:val="left"/>
              <w:rPr>
                <w:rFonts w:ascii="Calibri" w:hAnsi="Calibri" w:cs="Calibri"/>
                <w:color w:val="FF0000"/>
                <w:sz w:val="24"/>
              </w:rPr>
            </w:pPr>
            <w:r w:rsidRPr="001801CE">
              <w:rPr>
                <w:rFonts w:ascii="Calibri" w:hAnsi="Calibri" w:cs="Calibri"/>
                <w:color w:val="000000"/>
                <w:sz w:val="24"/>
              </w:rPr>
              <w:t xml:space="preserve">Implementation: </w:t>
            </w:r>
            <w:r w:rsidR="00875A28">
              <w:rPr>
                <w:rFonts w:ascii="Calibri" w:hAnsi="Calibri" w:cs="Calibri"/>
                <w:color w:val="000000"/>
                <w:sz w:val="24"/>
              </w:rPr>
              <w:t>immediate</w:t>
            </w:r>
          </w:p>
          <w:p w:rsidRPr="001753DA" w:rsidR="004C4C5E" w:rsidP="00A93566" w:rsidRDefault="004C4C5E" w14:paraId="7914EB78" w14:textId="254AC081">
            <w:pPr>
              <w:spacing w:after="120"/>
              <w:jc w:val="left"/>
              <w:rPr>
                <w:rFonts w:ascii="Calibri" w:hAnsi="Calibri" w:cs="Calibri"/>
                <w:color w:val="000000"/>
                <w:sz w:val="24"/>
                <w:highlight w:val="yellow"/>
              </w:rPr>
            </w:pPr>
            <w:r w:rsidRPr="001801CE">
              <w:rPr>
                <w:rFonts w:ascii="Calibri" w:hAnsi="Calibri" w:cs="Calibri"/>
                <w:color w:val="000000"/>
                <w:sz w:val="24"/>
              </w:rPr>
              <w:t xml:space="preserve">Application to collaborative provision: </w:t>
            </w:r>
            <w:r w:rsidR="00875A28">
              <w:rPr>
                <w:rFonts w:ascii="Calibri" w:hAnsi="Calibri" w:cs="Calibri"/>
                <w:color w:val="000000"/>
                <w:sz w:val="24"/>
              </w:rPr>
              <w:t>for information</w:t>
            </w:r>
          </w:p>
        </w:tc>
      </w:tr>
      <w:tr w:rsidRPr="00C85B48" w:rsidR="00446E79" w:rsidTr="00A93566" w14:paraId="52FFC49E" w14:textId="77777777">
        <w:tc>
          <w:tcPr>
            <w:tcW w:w="3470" w:type="dxa"/>
            <w:shd w:val="clear" w:color="auto" w:fill="auto"/>
          </w:tcPr>
          <w:p w:rsidR="00446E79" w:rsidP="00446E79" w:rsidRDefault="00446E79" w14:paraId="12457697" w14:textId="65A89A09">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lastRenderedPageBreak/>
              <w:t>University Code of Practice: Requests for Extensions and Additional Consideration</w:t>
            </w:r>
          </w:p>
        </w:tc>
        <w:tc>
          <w:tcPr>
            <w:tcW w:w="7157" w:type="dxa"/>
            <w:shd w:val="clear" w:color="auto" w:fill="auto"/>
          </w:tcPr>
          <w:p w:rsidR="00446E79" w:rsidP="00446E79" w:rsidRDefault="00446E79" w14:paraId="102A422F"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for</w:t>
            </w:r>
            <w:r>
              <w:t xml:space="preserve"> </w:t>
            </w:r>
            <w:r w:rsidRPr="005249C2">
              <w:rPr>
                <w:rFonts w:ascii="Calibri" w:hAnsi="Calibri" w:cs="Calibri"/>
                <w:sz w:val="24"/>
              </w:rPr>
              <w:t>Requests for Extensions and Additional Consideration</w:t>
            </w:r>
            <w:r>
              <w:rPr>
                <w:rFonts w:ascii="Calibri" w:hAnsi="Calibri" w:cs="Calibri"/>
                <w:sz w:val="24"/>
              </w:rPr>
              <w:t>.</w:t>
            </w:r>
          </w:p>
          <w:p w:rsidR="00446E79" w:rsidP="00446E79" w:rsidRDefault="00446E79" w14:paraId="4039C2AA" w14:textId="77777777">
            <w:pPr>
              <w:jc w:val="left"/>
              <w:rPr>
                <w:rFonts w:ascii="Calibri" w:hAnsi="Calibri" w:cs="Calibri"/>
                <w:color w:val="000000"/>
                <w:sz w:val="24"/>
              </w:rPr>
            </w:pPr>
          </w:p>
          <w:p w:rsidRPr="00BC7298" w:rsidR="00446E79" w:rsidP="00446E79" w:rsidRDefault="00446E79" w14:paraId="02EDD971" w14:textId="77777777">
            <w:pPr>
              <w:jc w:val="left"/>
              <w:rPr>
                <w:rFonts w:ascii="Calibri" w:hAnsi="Calibri" w:cs="Calibri"/>
                <w:sz w:val="24"/>
              </w:rPr>
            </w:pPr>
            <w:r w:rsidRPr="005249C2">
              <w:rPr>
                <w:rFonts w:ascii="Calibri" w:hAnsi="Calibri" w:cs="Calibri"/>
                <w:color w:val="000000"/>
                <w:sz w:val="24"/>
              </w:rPr>
              <w:t>This is a minor revision</w:t>
            </w:r>
            <w:r w:rsidRPr="005249C2">
              <w:rPr>
                <w:rFonts w:ascii="Calibri" w:hAnsi="Calibri" w:cs="Calibri"/>
                <w:sz w:val="24"/>
              </w:rPr>
              <w:t xml:space="preserve"> </w:t>
            </w:r>
            <w:r w:rsidRPr="001B4A7D">
              <w:rPr>
                <w:rFonts w:ascii="Calibri" w:hAnsi="Calibri" w:cs="Calibri"/>
                <w:sz w:val="24"/>
              </w:rPr>
              <w:t xml:space="preserve">to make clear where students should submit applications for extension or additional consideration especially in relation to shared modules/foundation year students and exchange students </w:t>
            </w:r>
            <w:r>
              <w:rPr>
                <w:rFonts w:ascii="Calibri" w:hAnsi="Calibri" w:cs="Calibri"/>
                <w:sz w:val="24"/>
              </w:rPr>
              <w:t>(</w:t>
            </w:r>
            <w:r w:rsidRPr="001B4A7D">
              <w:rPr>
                <w:rFonts w:ascii="Calibri" w:hAnsi="Calibri" w:cs="Calibri"/>
                <w:sz w:val="24"/>
              </w:rPr>
              <w:t>para 1.6</w:t>
            </w:r>
            <w:r>
              <w:rPr>
                <w:rFonts w:ascii="Calibri" w:hAnsi="Calibri" w:cs="Calibri"/>
                <w:sz w:val="24"/>
              </w:rPr>
              <w:t>)</w:t>
            </w:r>
            <w:r w:rsidRPr="001B4A7D">
              <w:rPr>
                <w:rFonts w:ascii="Calibri" w:hAnsi="Calibri" w:cs="Calibri"/>
                <w:sz w:val="24"/>
              </w:rPr>
              <w:t>.</w:t>
            </w:r>
          </w:p>
          <w:p w:rsidR="00446E79" w:rsidP="00446E79" w:rsidRDefault="00446E79" w14:paraId="79BB63D1"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00446E79" w:rsidP="003C501D" w:rsidRDefault="00446E79" w14:paraId="0DE33BED" w14:textId="24F149BB">
            <w:pPr>
              <w:jc w:val="right"/>
              <w:rPr>
                <w:rFonts w:ascii="Calibri" w:hAnsi="Calibri" w:cs="Calibri"/>
                <w:sz w:val="24"/>
              </w:rPr>
            </w:pP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tcPr>
          <w:p w:rsidRPr="00F90387" w:rsidR="00446E79" w:rsidP="00446E79" w:rsidRDefault="00446E79" w14:paraId="57A65EA1" w14:textId="77777777">
            <w:pPr>
              <w:spacing w:before="120" w:after="120"/>
              <w:jc w:val="left"/>
              <w:rPr>
                <w:rFonts w:ascii="Calibri" w:hAnsi="Calibri" w:cs="Calibri"/>
                <w:color w:val="FF0000"/>
                <w:sz w:val="24"/>
              </w:rPr>
            </w:pPr>
            <w:r w:rsidRPr="00F90387">
              <w:rPr>
                <w:rFonts w:ascii="Calibri" w:hAnsi="Calibri" w:cs="Calibri"/>
                <w:color w:val="000000"/>
                <w:sz w:val="24"/>
              </w:rPr>
              <w:t>Implementation:</w:t>
            </w:r>
            <w:r w:rsidRPr="0063350E">
              <w:rPr>
                <w:rFonts w:ascii="Calibri" w:hAnsi="Calibri" w:cs="Calibri"/>
                <w:b/>
                <w:bCs/>
                <w:color w:val="000000"/>
                <w:sz w:val="24"/>
              </w:rPr>
              <w:t xml:space="preserve"> Immediate</w:t>
            </w:r>
          </w:p>
          <w:p w:rsidRPr="001801CE" w:rsidR="00446E79" w:rsidP="00446E79" w:rsidRDefault="00446E79" w14:paraId="617EA7FF" w14:textId="24891C35">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C85B48" w:rsidR="00446E79" w:rsidTr="00A93566" w14:paraId="203D9D09" w14:textId="77777777">
        <w:tc>
          <w:tcPr>
            <w:tcW w:w="3470" w:type="dxa"/>
            <w:shd w:val="clear" w:color="auto" w:fill="auto"/>
          </w:tcPr>
          <w:p w:rsidRPr="00BC7298" w:rsidR="00446E79" w:rsidP="00446E79" w:rsidRDefault="00446E79" w14:paraId="3B0BEF4D" w14:textId="77777777">
            <w:pPr>
              <w:pStyle w:val="Agenda1"/>
              <w:tabs>
                <w:tab w:val="clear" w:pos="8928"/>
                <w:tab w:val="left" w:pos="567"/>
                <w:tab w:val="right" w:pos="9020"/>
                <w:tab w:val="right" w:pos="9072"/>
              </w:tabs>
              <w:rPr>
                <w:rFonts w:ascii="Calibri" w:hAnsi="Calibri" w:cs="Calibri"/>
                <w:b/>
                <w:bCs/>
                <w:sz w:val="24"/>
                <w:szCs w:val="24"/>
              </w:rPr>
            </w:pPr>
            <w:r w:rsidRPr="00BC7298">
              <w:rPr>
                <w:rFonts w:ascii="Calibri" w:hAnsi="Calibri" w:cs="Calibri"/>
                <w:b/>
                <w:bCs/>
                <w:sz w:val="24"/>
                <w:szCs w:val="24"/>
              </w:rPr>
              <w:t>University Regulations and Procedure for the Investigation and Determination of Complaints by Students</w:t>
            </w:r>
          </w:p>
          <w:p w:rsidR="00446E79" w:rsidP="00446E79" w:rsidRDefault="00446E79" w14:paraId="0C711652" w14:textId="77777777">
            <w:pPr>
              <w:tabs>
                <w:tab w:val="left" w:pos="567"/>
                <w:tab w:val="center" w:pos="4464"/>
                <w:tab w:val="right" w:pos="8928"/>
                <w:tab w:val="right" w:pos="9020"/>
                <w:tab w:val="right" w:pos="9072"/>
              </w:tabs>
              <w:jc w:val="left"/>
              <w:rPr>
                <w:rFonts w:ascii="Calibri" w:hAnsi="Calibri" w:cs="Calibri"/>
                <w:b/>
                <w:bCs/>
                <w:sz w:val="24"/>
              </w:rPr>
            </w:pPr>
          </w:p>
        </w:tc>
        <w:tc>
          <w:tcPr>
            <w:tcW w:w="7157" w:type="dxa"/>
            <w:shd w:val="clear" w:color="auto" w:fill="auto"/>
          </w:tcPr>
          <w:p w:rsidR="00446E79" w:rsidP="00446E79" w:rsidRDefault="00446E79" w14:paraId="53E832D7"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 xml:space="preserve">has revised its </w:t>
            </w:r>
            <w:r w:rsidRPr="001B4A7D">
              <w:rPr>
                <w:rFonts w:ascii="Calibri" w:hAnsi="Calibri" w:cs="Calibri"/>
                <w:sz w:val="24"/>
              </w:rPr>
              <w:t>Regulations and Procedure for the Investigation and Determination of Complaints by Students</w:t>
            </w:r>
            <w:r>
              <w:rPr>
                <w:rFonts w:ascii="Calibri" w:hAnsi="Calibri" w:cs="Calibri"/>
                <w:sz w:val="24"/>
              </w:rPr>
              <w:t>.</w:t>
            </w:r>
          </w:p>
          <w:p w:rsidRPr="001B4A7D" w:rsidR="00446E79" w:rsidP="00446E79" w:rsidRDefault="00446E79" w14:paraId="0DF34218" w14:textId="77777777">
            <w:pPr>
              <w:jc w:val="left"/>
              <w:rPr>
                <w:rFonts w:ascii="Calibri" w:hAnsi="Calibri" w:cs="Calibri"/>
                <w:sz w:val="24"/>
              </w:rPr>
            </w:pPr>
            <w:r>
              <w:rPr>
                <w:rFonts w:ascii="Calibri" w:hAnsi="Calibri" w:cs="Calibri"/>
                <w:sz w:val="24"/>
              </w:rPr>
              <w:t>T</w:t>
            </w:r>
            <w:r w:rsidRPr="001B4A7D">
              <w:rPr>
                <w:rFonts w:ascii="Calibri" w:hAnsi="Calibri" w:cs="Calibri"/>
                <w:sz w:val="24"/>
              </w:rPr>
              <w:t xml:space="preserve">he investigation of all student complaints at stage 2 (formal complaints) </w:t>
            </w:r>
            <w:r>
              <w:rPr>
                <w:rFonts w:ascii="Calibri" w:hAnsi="Calibri" w:cs="Calibri"/>
                <w:sz w:val="24"/>
              </w:rPr>
              <w:t>will</w:t>
            </w:r>
            <w:r w:rsidRPr="001B4A7D">
              <w:rPr>
                <w:rFonts w:ascii="Calibri" w:hAnsi="Calibri" w:cs="Calibri"/>
                <w:sz w:val="24"/>
              </w:rPr>
              <w:t xml:space="preserve"> move to the Conduct and Complaints Office within Academic Services.  Formal stage 3 complaints, under the new proposal, w</w:t>
            </w:r>
            <w:r>
              <w:rPr>
                <w:rFonts w:ascii="Calibri" w:hAnsi="Calibri" w:cs="Calibri"/>
                <w:sz w:val="24"/>
              </w:rPr>
              <w:t>ill</w:t>
            </w:r>
            <w:r w:rsidRPr="001B4A7D">
              <w:rPr>
                <w:rFonts w:ascii="Calibri" w:hAnsi="Calibri" w:cs="Calibri"/>
                <w:sz w:val="24"/>
              </w:rPr>
              <w:t xml:space="preserve"> be investigated by the Conduct and Complaints Manager.  </w:t>
            </w:r>
          </w:p>
          <w:p w:rsidRPr="001B4A7D" w:rsidR="00446E79" w:rsidP="00446E79" w:rsidRDefault="00446E79" w14:paraId="483B39FB" w14:textId="77777777">
            <w:pPr>
              <w:jc w:val="left"/>
              <w:rPr>
                <w:rFonts w:ascii="Calibri" w:hAnsi="Calibri" w:cs="Calibri"/>
                <w:sz w:val="24"/>
              </w:rPr>
            </w:pPr>
          </w:p>
          <w:p w:rsidRPr="001B4A7D" w:rsidR="00446E79" w:rsidP="00446E79" w:rsidRDefault="00446E79" w14:paraId="232C32EB" w14:textId="77777777">
            <w:pPr>
              <w:jc w:val="left"/>
              <w:rPr>
                <w:rFonts w:ascii="Calibri" w:hAnsi="Calibri" w:cs="Calibri"/>
                <w:sz w:val="24"/>
              </w:rPr>
            </w:pPr>
            <w:r w:rsidRPr="001B4A7D">
              <w:rPr>
                <w:rFonts w:ascii="Calibri" w:hAnsi="Calibri" w:cs="Calibri"/>
                <w:sz w:val="24"/>
              </w:rPr>
              <w:t xml:space="preserve">The rationale for these changes include: </w:t>
            </w:r>
          </w:p>
          <w:p w:rsidR="00446E79" w:rsidP="009041E6" w:rsidRDefault="00446E79" w14:paraId="71AA27F3" w14:textId="77777777">
            <w:pPr>
              <w:pStyle w:val="ListParagraph"/>
              <w:numPr>
                <w:ilvl w:val="0"/>
                <w:numId w:val="5"/>
              </w:numPr>
              <w:jc w:val="left"/>
              <w:rPr>
                <w:rFonts w:ascii="Calibri" w:hAnsi="Calibri" w:cs="Calibri"/>
                <w:sz w:val="24"/>
              </w:rPr>
            </w:pPr>
            <w:r w:rsidRPr="001B4A7D">
              <w:rPr>
                <w:rFonts w:ascii="Calibri" w:hAnsi="Calibri" w:cs="Calibri"/>
                <w:sz w:val="24"/>
              </w:rPr>
              <w:t>Sector Best Practice – the majority of HEIs have a central investigations team that allows unbiased, impartial and transparent investigations.</w:t>
            </w:r>
          </w:p>
          <w:p w:rsidR="00446E79" w:rsidP="009041E6" w:rsidRDefault="00446E79" w14:paraId="27CB9987" w14:textId="77777777">
            <w:pPr>
              <w:pStyle w:val="ListParagraph"/>
              <w:numPr>
                <w:ilvl w:val="0"/>
                <w:numId w:val="5"/>
              </w:numPr>
              <w:jc w:val="left"/>
              <w:rPr>
                <w:rFonts w:ascii="Calibri" w:hAnsi="Calibri" w:cs="Calibri"/>
                <w:sz w:val="24"/>
              </w:rPr>
            </w:pPr>
            <w:r w:rsidRPr="001B4A7D">
              <w:rPr>
                <w:rFonts w:ascii="Calibri" w:hAnsi="Calibri" w:cs="Calibri"/>
                <w:sz w:val="24"/>
              </w:rPr>
              <w:t>To support the University Strategic plan, in particular allowing academic staff to focus on their teaching and research.</w:t>
            </w:r>
          </w:p>
          <w:p w:rsidR="00446E79" w:rsidP="009041E6" w:rsidRDefault="00446E79" w14:paraId="48CD9A72" w14:textId="77777777">
            <w:pPr>
              <w:pStyle w:val="ListParagraph"/>
              <w:numPr>
                <w:ilvl w:val="0"/>
                <w:numId w:val="5"/>
              </w:numPr>
              <w:jc w:val="left"/>
              <w:rPr>
                <w:rFonts w:ascii="Calibri" w:hAnsi="Calibri" w:cs="Calibri"/>
                <w:sz w:val="24"/>
              </w:rPr>
            </w:pPr>
            <w:r w:rsidRPr="001B4A7D">
              <w:rPr>
                <w:rFonts w:ascii="Calibri" w:hAnsi="Calibri" w:cs="Calibri"/>
                <w:sz w:val="24"/>
              </w:rPr>
              <w:t>To reduce delays and improve student experience.</w:t>
            </w:r>
          </w:p>
          <w:p w:rsidR="00446E79" w:rsidP="009041E6" w:rsidRDefault="00446E79" w14:paraId="12AAEF6B" w14:textId="77777777">
            <w:pPr>
              <w:pStyle w:val="ListParagraph"/>
              <w:numPr>
                <w:ilvl w:val="0"/>
                <w:numId w:val="5"/>
              </w:numPr>
              <w:jc w:val="left"/>
              <w:rPr>
                <w:rFonts w:ascii="Calibri" w:hAnsi="Calibri" w:cs="Calibri"/>
                <w:sz w:val="24"/>
              </w:rPr>
            </w:pPr>
            <w:r w:rsidRPr="001B4A7D">
              <w:rPr>
                <w:rFonts w:ascii="Calibri" w:hAnsi="Calibri" w:cs="Calibri"/>
                <w:sz w:val="24"/>
              </w:rPr>
              <w:t xml:space="preserve">To enable centralised reporting on outcomes and recording of action learning outcomes across the University. </w:t>
            </w:r>
          </w:p>
          <w:p w:rsidRPr="001B4A7D" w:rsidR="00446E79" w:rsidP="009041E6" w:rsidRDefault="00446E79" w14:paraId="42AF93D8" w14:textId="77777777">
            <w:pPr>
              <w:pStyle w:val="ListParagraph"/>
              <w:numPr>
                <w:ilvl w:val="0"/>
                <w:numId w:val="5"/>
              </w:numPr>
              <w:jc w:val="left"/>
              <w:rPr>
                <w:rFonts w:ascii="Calibri" w:hAnsi="Calibri" w:cs="Calibri"/>
                <w:sz w:val="24"/>
              </w:rPr>
            </w:pPr>
            <w:r w:rsidRPr="001B4A7D">
              <w:rPr>
                <w:rFonts w:ascii="Calibri" w:hAnsi="Calibri" w:cs="Calibri"/>
                <w:sz w:val="24"/>
              </w:rPr>
              <w:lastRenderedPageBreak/>
              <w:t>A similar change in non-academic misconduct investigations has been a great success.</w:t>
            </w:r>
          </w:p>
          <w:p w:rsidR="00446E79" w:rsidP="00446E79" w:rsidRDefault="00446E79" w14:paraId="64C7933E" w14:textId="77777777">
            <w:pPr>
              <w:pStyle w:val="ListParagraph"/>
              <w:jc w:val="right"/>
              <w:rPr>
                <w:rFonts w:ascii="Calibri" w:hAnsi="Calibri" w:cs="Calibri"/>
                <w:sz w:val="24"/>
              </w:rPr>
            </w:pPr>
          </w:p>
          <w:p w:rsidR="00446E79" w:rsidP="00446E79" w:rsidRDefault="00446E79" w14:paraId="5768A031"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p w:rsidR="00446E79" w:rsidP="009041E6" w:rsidRDefault="00446E79" w14:paraId="6971FF89" w14:textId="63D65C81">
            <w:pPr>
              <w:jc w:val="right"/>
              <w:rPr>
                <w:rFonts w:ascii="Calibri" w:hAnsi="Calibri" w:cs="Calibri"/>
                <w:sz w:val="24"/>
              </w:rPr>
            </w:pPr>
            <w:r>
              <w:rPr>
                <w:rFonts w:ascii="Calibri" w:hAnsi="Calibri" w:cs="Calibri"/>
                <w:sz w:val="24"/>
              </w:rPr>
              <w:t>Senate, June 2024</w:t>
            </w:r>
          </w:p>
        </w:tc>
        <w:tc>
          <w:tcPr>
            <w:tcW w:w="3321" w:type="dxa"/>
          </w:tcPr>
          <w:p w:rsidRPr="00F90387" w:rsidR="00446E79" w:rsidP="00446E79" w:rsidRDefault="00446E79" w14:paraId="31A79F80" w14:textId="77777777">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sidRPr="0063350E">
              <w:rPr>
                <w:rFonts w:ascii="Calibri" w:hAnsi="Calibri" w:cs="Calibri"/>
                <w:b/>
                <w:bCs/>
                <w:color w:val="000000"/>
                <w:sz w:val="24"/>
              </w:rPr>
              <w:t>Sept 2024</w:t>
            </w:r>
          </w:p>
          <w:p w:rsidRPr="001801CE" w:rsidR="00446E79" w:rsidP="00446E79" w:rsidRDefault="00446E79" w14:paraId="55650A01" w14:textId="069EB4CA">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w:t>
            </w:r>
            <w:r>
              <w:rPr>
                <w:rFonts w:ascii="Calibri" w:hAnsi="Calibri" w:cs="Calibri"/>
                <w:color w:val="000000"/>
                <w:sz w:val="24"/>
              </w:rPr>
              <w:t xml:space="preserve"> mandatory</w:t>
            </w:r>
          </w:p>
        </w:tc>
      </w:tr>
      <w:tr w:rsidRPr="00C85B48" w:rsidR="009041E6" w:rsidTr="00A93566" w14:paraId="0AF66FD2" w14:textId="77777777">
        <w:tc>
          <w:tcPr>
            <w:tcW w:w="3470" w:type="dxa"/>
            <w:shd w:val="clear" w:color="auto" w:fill="auto"/>
          </w:tcPr>
          <w:p w:rsidRPr="00BC7298" w:rsidR="009041E6" w:rsidP="009041E6" w:rsidRDefault="009041E6" w14:paraId="25D0B28B" w14:textId="240DEF8C">
            <w:pPr>
              <w:pStyle w:val="Agenda1"/>
              <w:tabs>
                <w:tab w:val="clear" w:pos="8928"/>
                <w:tab w:val="left" w:pos="567"/>
                <w:tab w:val="right" w:pos="9020"/>
                <w:tab w:val="right" w:pos="9072"/>
              </w:tabs>
              <w:rPr>
                <w:rFonts w:ascii="Calibri" w:hAnsi="Calibri" w:cs="Calibri"/>
                <w:b/>
                <w:bCs/>
                <w:sz w:val="24"/>
                <w:szCs w:val="24"/>
              </w:rPr>
            </w:pPr>
            <w:r>
              <w:rPr>
                <w:rFonts w:ascii="Calibri" w:hAnsi="Calibri" w:cs="Calibri"/>
                <w:b/>
                <w:bCs/>
                <w:sz w:val="24"/>
              </w:rPr>
              <w:t>Chaplaincy Policy (</w:t>
            </w:r>
            <w:r w:rsidRPr="00781ADB">
              <w:rPr>
                <w:rFonts w:ascii="Calibri" w:hAnsi="Calibri" w:cs="Calibri"/>
                <w:b/>
                <w:bCs/>
                <w:i/>
                <w:iCs/>
                <w:sz w:val="24"/>
              </w:rPr>
              <w:t>NEW</w:t>
            </w:r>
            <w:r>
              <w:rPr>
                <w:rFonts w:ascii="Calibri" w:hAnsi="Calibri" w:cs="Calibri"/>
                <w:b/>
                <w:bCs/>
                <w:sz w:val="24"/>
              </w:rPr>
              <w:t>)</w:t>
            </w:r>
          </w:p>
        </w:tc>
        <w:tc>
          <w:tcPr>
            <w:tcW w:w="7157" w:type="dxa"/>
            <w:shd w:val="clear" w:color="auto" w:fill="auto"/>
          </w:tcPr>
          <w:p w:rsidRPr="00781ADB" w:rsidR="009041E6" w:rsidP="009041E6" w:rsidRDefault="009041E6" w14:paraId="45ABA2E7" w14:textId="77777777">
            <w:pPr>
              <w:jc w:val="left"/>
              <w:rPr>
                <w:rFonts w:ascii="Calibri" w:hAnsi="Calibri" w:cs="Calibri"/>
                <w:sz w:val="24"/>
              </w:rPr>
            </w:pPr>
            <w:r w:rsidRPr="00781ADB">
              <w:rPr>
                <w:rFonts w:ascii="Calibri" w:hAnsi="Calibri" w:cs="Calibri"/>
                <w:sz w:val="24"/>
              </w:rPr>
              <w:t xml:space="preserve">The University Chaplaincy Policy is a comprehensive framework for governing the provision of spiritual and emotional support within </w:t>
            </w:r>
            <w:r>
              <w:rPr>
                <w:rFonts w:ascii="Calibri" w:hAnsi="Calibri" w:cs="Calibri"/>
                <w:sz w:val="24"/>
              </w:rPr>
              <w:t>UoH</w:t>
            </w:r>
            <w:r w:rsidRPr="00781ADB">
              <w:rPr>
                <w:rFonts w:ascii="Calibri" w:hAnsi="Calibri" w:cs="Calibri"/>
                <w:sz w:val="24"/>
              </w:rPr>
              <w:t xml:space="preserve"> community. It outlines the principles, services, and responsibilities associated with the proposed University Chaplaincy Service, emphasising the importance of creating an environment that respects and honours the diversity of beliefs within </w:t>
            </w:r>
            <w:r>
              <w:rPr>
                <w:rFonts w:ascii="Calibri" w:hAnsi="Calibri" w:cs="Calibri"/>
                <w:sz w:val="24"/>
              </w:rPr>
              <w:t>the</w:t>
            </w:r>
            <w:r w:rsidRPr="00781ADB">
              <w:rPr>
                <w:rFonts w:ascii="Calibri" w:hAnsi="Calibri" w:cs="Calibri"/>
                <w:sz w:val="24"/>
              </w:rPr>
              <w:t xml:space="preserve"> academic community. </w:t>
            </w:r>
          </w:p>
          <w:p w:rsidRPr="00781ADB" w:rsidR="009041E6" w:rsidP="009041E6" w:rsidRDefault="009041E6" w14:paraId="649557F9" w14:textId="77777777">
            <w:pPr>
              <w:jc w:val="left"/>
              <w:rPr>
                <w:rFonts w:ascii="Calibri" w:hAnsi="Calibri" w:cs="Calibri"/>
                <w:sz w:val="24"/>
              </w:rPr>
            </w:pPr>
          </w:p>
          <w:p w:rsidRPr="00BC7298" w:rsidR="009041E6" w:rsidP="009041E6" w:rsidRDefault="009041E6" w14:paraId="505CE66A" w14:textId="77777777">
            <w:pPr>
              <w:jc w:val="left"/>
              <w:rPr>
                <w:rFonts w:ascii="Calibri" w:hAnsi="Calibri" w:cs="Calibri"/>
                <w:sz w:val="24"/>
              </w:rPr>
            </w:pPr>
            <w:r w:rsidRPr="00781ADB">
              <w:rPr>
                <w:rFonts w:ascii="Calibri" w:hAnsi="Calibri" w:cs="Calibri"/>
                <w:sz w:val="24"/>
              </w:rPr>
              <w:t xml:space="preserve">The Policy explicitly recognises the importance of accommodating diverse religious and spiritual beliefs in an inclusive and respectful environment and outlines how the Chaplaincy Policy and service provision will align with the Freedom of Speech and External Speaker Policy. </w:t>
            </w:r>
          </w:p>
          <w:p w:rsidR="009041E6" w:rsidP="009041E6" w:rsidRDefault="009041E6" w14:paraId="17004D1F"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Committee,</w:t>
            </w:r>
            <w:r>
              <w:rPr>
                <w:rFonts w:ascii="Calibri" w:hAnsi="Calibri" w:cs="Calibri"/>
                <w:sz w:val="24"/>
              </w:rPr>
              <w:t xml:space="preserve"> June 2024</w:t>
            </w:r>
            <w:r w:rsidRPr="00542863">
              <w:rPr>
                <w:rFonts w:ascii="Calibri" w:hAnsi="Calibri" w:cs="Calibri"/>
                <w:sz w:val="24"/>
              </w:rPr>
              <w:t xml:space="preserve"> </w:t>
            </w:r>
          </w:p>
          <w:p w:rsidR="009041E6" w:rsidP="003C501D" w:rsidRDefault="009041E6" w14:paraId="525E3677" w14:textId="019B6539">
            <w:pPr>
              <w:jc w:val="right"/>
              <w:rPr>
                <w:rFonts w:ascii="Calibri" w:hAnsi="Calibri" w:cs="Calibri"/>
                <w:sz w:val="24"/>
              </w:rPr>
            </w:pPr>
            <w:r>
              <w:rPr>
                <w:rFonts w:ascii="Calibri" w:hAnsi="Calibri" w:cs="Calibri"/>
                <w:sz w:val="24"/>
              </w:rPr>
              <w:t xml:space="preserve">Senate, August </w:t>
            </w:r>
            <w:r w:rsidRPr="00542863">
              <w:rPr>
                <w:rFonts w:ascii="Calibri" w:hAnsi="Calibri" w:cs="Calibri"/>
                <w:sz w:val="24"/>
              </w:rPr>
              <w:t>202</w:t>
            </w:r>
            <w:r>
              <w:rPr>
                <w:rFonts w:ascii="Calibri" w:hAnsi="Calibri" w:cs="Calibri"/>
                <w:sz w:val="24"/>
              </w:rPr>
              <w:t>4</w:t>
            </w:r>
          </w:p>
        </w:tc>
        <w:tc>
          <w:tcPr>
            <w:tcW w:w="3321" w:type="dxa"/>
          </w:tcPr>
          <w:p w:rsidRPr="00F90387" w:rsidR="009041E6" w:rsidP="009041E6" w:rsidRDefault="009041E6" w14:paraId="4186EFB5" w14:textId="77777777">
            <w:pPr>
              <w:spacing w:before="120" w:after="120"/>
              <w:jc w:val="left"/>
              <w:rPr>
                <w:rFonts w:ascii="Calibri" w:hAnsi="Calibri" w:cs="Calibri"/>
                <w:color w:val="FF0000"/>
                <w:sz w:val="24"/>
              </w:rPr>
            </w:pPr>
            <w:r w:rsidRPr="00F90387">
              <w:rPr>
                <w:rFonts w:ascii="Calibri" w:hAnsi="Calibri" w:cs="Calibri"/>
                <w:color w:val="000000"/>
                <w:sz w:val="24"/>
              </w:rPr>
              <w:t>Implementation:</w:t>
            </w:r>
            <w:r w:rsidRPr="0063350E">
              <w:rPr>
                <w:rFonts w:ascii="Calibri" w:hAnsi="Calibri" w:cs="Calibri"/>
                <w:b/>
                <w:bCs/>
                <w:color w:val="000000"/>
                <w:sz w:val="24"/>
              </w:rPr>
              <w:t xml:space="preserve"> Immediate</w:t>
            </w:r>
          </w:p>
          <w:p w:rsidRPr="00F90387" w:rsidR="009041E6" w:rsidP="009041E6" w:rsidRDefault="009041E6" w14:paraId="035C6760" w14:textId="70A6CED7">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for information</w:t>
            </w:r>
          </w:p>
        </w:tc>
      </w:tr>
    </w:tbl>
    <w:p w:rsidR="00A91962" w:rsidP="00A91962" w:rsidRDefault="00A91962" w14:paraId="4BF93FBF" w14:textId="77777777">
      <w:pPr>
        <w:pStyle w:val="Heading2"/>
        <w:rPr>
          <w:color w:val="0070C0"/>
          <w:szCs w:val="20"/>
        </w:rPr>
      </w:pPr>
    </w:p>
    <w:bookmarkEnd w:id="17"/>
    <w:p w:rsidR="00277AEF" w:rsidP="00277AEF" w:rsidRDefault="00277AEF" w14:paraId="5804A9AD" w14:textId="77777777">
      <w:pPr>
        <w:pStyle w:val="Heading2"/>
        <w:rPr>
          <w:color w:val="0070C0"/>
          <w:sz w:val="24"/>
          <w:szCs w:val="24"/>
        </w:rPr>
      </w:pPr>
    </w:p>
    <w:p w:rsidRPr="00A91962" w:rsidR="00CB036C" w:rsidP="00CB036C" w:rsidRDefault="00875A28" w14:paraId="702ABF33" w14:textId="61490E27">
      <w:pPr>
        <w:pStyle w:val="Heading2"/>
        <w:rPr>
          <w:color w:val="0070C0"/>
          <w:szCs w:val="20"/>
        </w:rPr>
      </w:pPr>
      <w:bookmarkStart w:name="_Toc174629000" w:id="19"/>
      <w:r>
        <w:rPr>
          <w:color w:val="0070C0"/>
          <w:szCs w:val="20"/>
        </w:rPr>
        <w:t>SUPPORT</w:t>
      </w:r>
      <w:bookmarkEnd w:id="19"/>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CB036C" w:rsidTr="001E5046" w14:paraId="04E61E34" w14:textId="77777777">
        <w:trPr>
          <w:tblHeader/>
        </w:trPr>
        <w:tc>
          <w:tcPr>
            <w:tcW w:w="3470" w:type="dxa"/>
            <w:shd w:val="clear" w:color="auto" w:fill="D0CECE"/>
          </w:tcPr>
          <w:p w:rsidRPr="00C85B48" w:rsidR="00CB036C" w:rsidP="001E5046" w:rsidRDefault="00CB036C" w14:paraId="32F5FBF8"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CB036C" w:rsidP="001E5046" w:rsidRDefault="00CB036C" w14:paraId="21D01710" w14:textId="77777777">
            <w:pPr>
              <w:jc w:val="center"/>
              <w:rPr>
                <w:rFonts w:cs="Arial"/>
                <w:sz w:val="22"/>
                <w:szCs w:val="22"/>
              </w:rPr>
            </w:pPr>
            <w:r w:rsidRPr="00C85B48">
              <w:rPr>
                <w:b/>
                <w:sz w:val="22"/>
                <w:szCs w:val="22"/>
              </w:rPr>
              <w:t>Details</w:t>
            </w:r>
          </w:p>
        </w:tc>
        <w:tc>
          <w:tcPr>
            <w:tcW w:w="3321" w:type="dxa"/>
            <w:shd w:val="clear" w:color="auto" w:fill="D0CECE"/>
          </w:tcPr>
          <w:p w:rsidRPr="00C85B48" w:rsidR="00CB036C" w:rsidP="001E5046" w:rsidRDefault="00CB036C" w14:paraId="47117C9B" w14:textId="77777777">
            <w:pPr>
              <w:jc w:val="center"/>
              <w:rPr>
                <w:color w:val="000000"/>
                <w:sz w:val="22"/>
                <w:szCs w:val="22"/>
              </w:rPr>
            </w:pPr>
            <w:r w:rsidRPr="00C85B48">
              <w:rPr>
                <w:b/>
                <w:sz w:val="22"/>
                <w:szCs w:val="22"/>
              </w:rPr>
              <w:t>Implementation</w:t>
            </w:r>
          </w:p>
        </w:tc>
      </w:tr>
      <w:tr w:rsidRPr="00C85B48" w:rsidR="00CB036C" w:rsidTr="001E5046" w14:paraId="0561D2E0" w14:textId="77777777">
        <w:tc>
          <w:tcPr>
            <w:tcW w:w="3470" w:type="dxa"/>
            <w:shd w:val="clear" w:color="auto" w:fill="auto"/>
          </w:tcPr>
          <w:p w:rsidRPr="00DF0F14" w:rsidR="00CB036C" w:rsidP="001E5046" w:rsidRDefault="00CB036C" w14:paraId="0B2166D8" w14:textId="77777777">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t xml:space="preserve">University Code of Practice: </w:t>
            </w:r>
            <w:r>
              <w:t xml:space="preserve"> </w:t>
            </w:r>
            <w:r w:rsidRPr="0024768F">
              <w:rPr>
                <w:rFonts w:ascii="Calibri" w:hAnsi="Calibri" w:cs="Calibri"/>
                <w:b/>
                <w:bCs/>
                <w:sz w:val="24"/>
              </w:rPr>
              <w:t>The Preparation of University Documentation relating to Academic Quality and Standards.</w:t>
            </w:r>
          </w:p>
        </w:tc>
        <w:tc>
          <w:tcPr>
            <w:tcW w:w="7157" w:type="dxa"/>
            <w:shd w:val="clear" w:color="auto" w:fill="auto"/>
          </w:tcPr>
          <w:p w:rsidR="00875A28" w:rsidP="001E5046" w:rsidRDefault="00875A28" w14:paraId="0055AE19" w14:textId="150978FB">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developed a new Code of Practice for the preparation of university documentation in relation to academic quality and standards.</w:t>
            </w:r>
            <w:r w:rsidR="00FC6DCF">
              <w:rPr>
                <w:rFonts w:ascii="Calibri" w:hAnsi="Calibri" w:cs="Calibri"/>
                <w:sz w:val="24"/>
              </w:rPr>
              <w:t xml:space="preserve">  </w:t>
            </w:r>
          </w:p>
          <w:p w:rsidR="008C5624" w:rsidP="001E5046" w:rsidRDefault="008C5624" w14:paraId="1DAA6F9E" w14:textId="77777777">
            <w:pPr>
              <w:jc w:val="left"/>
              <w:rPr>
                <w:rFonts w:ascii="Calibri" w:hAnsi="Calibri" w:cs="Calibri"/>
                <w:sz w:val="24"/>
              </w:rPr>
            </w:pPr>
          </w:p>
          <w:p w:rsidR="00CB036C" w:rsidP="001E5046" w:rsidRDefault="00875A28" w14:paraId="295B6712" w14:textId="735A21FE">
            <w:pPr>
              <w:jc w:val="left"/>
              <w:rPr>
                <w:rFonts w:ascii="Calibri" w:hAnsi="Calibri" w:cs="Calibri"/>
                <w:sz w:val="24"/>
              </w:rPr>
            </w:pPr>
            <w:r w:rsidRPr="00875A28">
              <w:rPr>
                <w:rFonts w:ascii="Calibri" w:hAnsi="Calibri" w:cs="Calibri"/>
                <w:sz w:val="24"/>
              </w:rPr>
              <w:t>The Code explain</w:t>
            </w:r>
            <w:r>
              <w:rPr>
                <w:rFonts w:ascii="Calibri" w:hAnsi="Calibri" w:cs="Calibri"/>
                <w:sz w:val="24"/>
              </w:rPr>
              <w:t>s</w:t>
            </w:r>
            <w:r w:rsidRPr="00875A28">
              <w:rPr>
                <w:rFonts w:ascii="Calibri" w:hAnsi="Calibri" w:cs="Calibri"/>
                <w:sz w:val="24"/>
              </w:rPr>
              <w:t xml:space="preserve"> and demonstrate</w:t>
            </w:r>
            <w:r>
              <w:rPr>
                <w:rFonts w:ascii="Calibri" w:hAnsi="Calibri" w:cs="Calibri"/>
                <w:sz w:val="24"/>
              </w:rPr>
              <w:t>s</w:t>
            </w:r>
            <w:r w:rsidRPr="00875A28">
              <w:rPr>
                <w:rFonts w:ascii="Calibri" w:hAnsi="Calibri" w:cs="Calibri"/>
                <w:sz w:val="24"/>
              </w:rPr>
              <w:t xml:space="preserve"> the template for university documentation relating to the management of academic quality and standards. This will promote usability and coherence of documents enabling them to be better communicated across the University.</w:t>
            </w:r>
          </w:p>
          <w:p w:rsidR="006E6B46" w:rsidP="001E5046" w:rsidRDefault="006E6B46" w14:paraId="228049DB" w14:textId="77777777">
            <w:pPr>
              <w:jc w:val="left"/>
              <w:rPr>
                <w:rFonts w:ascii="Calibri" w:hAnsi="Calibri" w:cs="Calibri"/>
                <w:sz w:val="24"/>
              </w:rPr>
            </w:pPr>
          </w:p>
          <w:p w:rsidRPr="00DF0F14" w:rsidR="006E6B46" w:rsidP="001E5046" w:rsidRDefault="006E6B46" w14:paraId="02553187" w14:textId="2DE417FF">
            <w:pPr>
              <w:jc w:val="left"/>
              <w:rPr>
                <w:rFonts w:ascii="Calibri" w:hAnsi="Calibri" w:cs="Calibri"/>
                <w:sz w:val="24"/>
              </w:rPr>
            </w:pPr>
            <w:r>
              <w:rPr>
                <w:rFonts w:ascii="Calibri" w:hAnsi="Calibri" w:cs="Calibri"/>
                <w:sz w:val="24"/>
              </w:rPr>
              <w:t>Available on SharePoint.</w:t>
            </w:r>
          </w:p>
          <w:p w:rsidR="00CB036C" w:rsidP="001E5046" w:rsidRDefault="00CB036C" w14:paraId="328DF821" w14:textId="77777777">
            <w:pPr>
              <w:contextualSpacing/>
              <w:jc w:val="right"/>
              <w:rPr>
                <w:rFonts w:ascii="Calibri" w:hAnsi="Calibri" w:cs="Calibri"/>
                <w:noProof/>
                <w:sz w:val="24"/>
              </w:rPr>
            </w:pPr>
          </w:p>
          <w:p w:rsidR="00CB036C" w:rsidP="001E5046" w:rsidRDefault="00CB036C" w14:paraId="0B74D49F" w14:textId="77777777">
            <w:pPr>
              <w:contextualSpacing/>
              <w:jc w:val="right"/>
              <w:rPr>
                <w:rFonts w:ascii="Calibri" w:hAnsi="Calibri" w:cs="Calibri"/>
                <w:noProof/>
                <w:sz w:val="24"/>
              </w:rPr>
            </w:pPr>
            <w:r w:rsidRPr="00DF0F14">
              <w:rPr>
                <w:rFonts w:ascii="Calibri" w:hAnsi="Calibri" w:cs="Calibri"/>
                <w:noProof/>
                <w:sz w:val="24"/>
              </w:rPr>
              <w:t xml:space="preserve">Education </w:t>
            </w:r>
            <w:r>
              <w:rPr>
                <w:rFonts w:ascii="Calibri" w:hAnsi="Calibri" w:cs="Calibri"/>
                <w:noProof/>
                <w:sz w:val="24"/>
              </w:rPr>
              <w:t xml:space="preserve">Student Experience </w:t>
            </w:r>
            <w:r w:rsidRPr="00DF0F14">
              <w:rPr>
                <w:rFonts w:ascii="Calibri" w:hAnsi="Calibri" w:cs="Calibri"/>
                <w:noProof/>
                <w:sz w:val="24"/>
              </w:rPr>
              <w:t xml:space="preserve">Committee, </w:t>
            </w:r>
          </w:p>
          <w:p w:rsidRPr="00DF0F14" w:rsidR="00CB036C" w:rsidP="001E5046" w:rsidRDefault="00CB036C" w14:paraId="1C0D87F1" w14:textId="77777777">
            <w:pPr>
              <w:contextualSpacing/>
              <w:jc w:val="right"/>
              <w:rPr>
                <w:rFonts w:ascii="Calibri" w:hAnsi="Calibri" w:cs="Calibri"/>
                <w:noProof/>
                <w:sz w:val="24"/>
              </w:rPr>
            </w:pPr>
            <w:r>
              <w:rPr>
                <w:rFonts w:ascii="Calibri" w:hAnsi="Calibri" w:cs="Calibri"/>
                <w:noProof/>
                <w:sz w:val="24"/>
              </w:rPr>
              <w:t>Oct</w:t>
            </w:r>
            <w:r w:rsidRPr="00DF0F14">
              <w:rPr>
                <w:rFonts w:ascii="Calibri" w:hAnsi="Calibri" w:cs="Calibri"/>
                <w:noProof/>
                <w:sz w:val="24"/>
              </w:rPr>
              <w:t xml:space="preserve"> 2023</w:t>
            </w:r>
          </w:p>
        </w:tc>
        <w:tc>
          <w:tcPr>
            <w:tcW w:w="3321" w:type="dxa"/>
          </w:tcPr>
          <w:p w:rsidRPr="001801CE" w:rsidR="00CB036C" w:rsidP="001E5046" w:rsidRDefault="00CB036C" w14:paraId="4E24FA86" w14:textId="77777777">
            <w:pPr>
              <w:spacing w:before="120" w:after="120"/>
              <w:jc w:val="left"/>
              <w:rPr>
                <w:rFonts w:ascii="Calibri" w:hAnsi="Calibri" w:cs="Calibri"/>
                <w:color w:val="FF0000"/>
                <w:sz w:val="24"/>
              </w:rPr>
            </w:pPr>
            <w:r w:rsidRPr="001801CE">
              <w:rPr>
                <w:rFonts w:ascii="Calibri" w:hAnsi="Calibri" w:cs="Calibri"/>
                <w:color w:val="000000"/>
                <w:sz w:val="24"/>
              </w:rPr>
              <w:t xml:space="preserve">Implementation: </w:t>
            </w:r>
            <w:r>
              <w:rPr>
                <w:rFonts w:ascii="Calibri" w:hAnsi="Calibri" w:cs="Calibri"/>
                <w:color w:val="000000"/>
                <w:sz w:val="24"/>
              </w:rPr>
              <w:t>immediate</w:t>
            </w:r>
          </w:p>
          <w:p w:rsidRPr="001753DA" w:rsidR="00CB036C" w:rsidP="001E5046" w:rsidRDefault="00CB036C" w14:paraId="7BABB593" w14:textId="06513D4C">
            <w:pPr>
              <w:spacing w:after="120"/>
              <w:jc w:val="left"/>
              <w:rPr>
                <w:rFonts w:ascii="Calibri" w:hAnsi="Calibri" w:cs="Calibri"/>
                <w:color w:val="000000"/>
                <w:sz w:val="24"/>
                <w:highlight w:val="yellow"/>
              </w:rPr>
            </w:pPr>
            <w:r w:rsidRPr="001801CE">
              <w:rPr>
                <w:rFonts w:ascii="Calibri" w:hAnsi="Calibri" w:cs="Calibri"/>
                <w:color w:val="000000"/>
                <w:sz w:val="24"/>
              </w:rPr>
              <w:t xml:space="preserve">Application to collaborative provision: </w:t>
            </w:r>
            <w:r w:rsidR="009C452C">
              <w:rPr>
                <w:rFonts w:ascii="Calibri" w:hAnsi="Calibri" w:cs="Calibri"/>
                <w:color w:val="000000"/>
                <w:sz w:val="24"/>
              </w:rPr>
              <w:t>n/a</w:t>
            </w:r>
          </w:p>
        </w:tc>
      </w:tr>
    </w:tbl>
    <w:p w:rsidRPr="00CB036C" w:rsidR="00CB036C" w:rsidP="00CB036C" w:rsidRDefault="00CB036C" w14:paraId="5A7915B4" w14:textId="77777777">
      <w:pPr>
        <w:pStyle w:val="Heading4"/>
        <w:numPr>
          <w:ilvl w:val="0"/>
          <w:numId w:val="0"/>
        </w:numPr>
        <w:ind w:left="567" w:hanging="567"/>
      </w:pPr>
    </w:p>
    <w:p w:rsidRPr="007E1986" w:rsidR="00277AEF" w:rsidP="00277AEF" w:rsidRDefault="00277AEF" w14:paraId="45EE3CEC" w14:textId="1FF1F354">
      <w:pPr>
        <w:pStyle w:val="Heading2"/>
        <w:rPr>
          <w:rStyle w:val="arial12"/>
          <w:b w:val="0"/>
          <w:color w:val="0070C0"/>
          <w:szCs w:val="24"/>
        </w:rPr>
      </w:pPr>
      <w:bookmarkStart w:name="_Toc174629001" w:id="20"/>
      <w:r>
        <w:rPr>
          <w:color w:val="0070C0"/>
          <w:sz w:val="24"/>
          <w:szCs w:val="24"/>
        </w:rPr>
        <w:t>H</w:t>
      </w:r>
      <w:r w:rsidR="00074B8D">
        <w:rPr>
          <w:color w:val="0070C0"/>
          <w:sz w:val="24"/>
          <w:szCs w:val="24"/>
        </w:rPr>
        <w:t>OUSEKEEPING</w:t>
      </w:r>
      <w:bookmarkEnd w:id="20"/>
    </w:p>
    <w:p w:rsidRPr="00CA5485" w:rsidR="00277AEF" w:rsidP="00277AEF" w:rsidRDefault="00277AEF" w14:paraId="5FA3F2DD"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4079D4" w:rsidR="00277AEF" w:rsidTr="00277AEF" w14:paraId="0AABCFD5" w14:textId="77777777">
        <w:tc>
          <w:tcPr>
            <w:tcW w:w="3539" w:type="dxa"/>
            <w:shd w:val="clear" w:color="auto" w:fill="D0CECE"/>
            <w:vAlign w:val="center"/>
          </w:tcPr>
          <w:p w:rsidRPr="004079D4" w:rsidR="00277AEF" w:rsidP="00F53CFD" w:rsidRDefault="00277AEF" w14:paraId="2FA8ECEA" w14:textId="77777777">
            <w:pPr>
              <w:jc w:val="center"/>
              <w:rPr>
                <w:rFonts w:cs="Arial"/>
                <w:b/>
                <w:bCs/>
                <w:sz w:val="22"/>
                <w:szCs w:val="22"/>
              </w:rPr>
            </w:pPr>
            <w:r w:rsidRPr="004079D4">
              <w:rPr>
                <w:rFonts w:cs="Arial"/>
                <w:b/>
                <w:bCs/>
                <w:sz w:val="22"/>
                <w:szCs w:val="22"/>
              </w:rPr>
              <w:t>Quality Handbook</w:t>
            </w:r>
          </w:p>
        </w:tc>
        <w:tc>
          <w:tcPr>
            <w:tcW w:w="7088" w:type="dxa"/>
            <w:shd w:val="clear" w:color="auto" w:fill="D0CECE"/>
            <w:vAlign w:val="center"/>
          </w:tcPr>
          <w:p w:rsidRPr="004079D4" w:rsidR="00277AEF" w:rsidP="00F53CFD" w:rsidRDefault="00277AEF" w14:paraId="4DDB4841" w14:textId="0921E513">
            <w:pPr>
              <w:jc w:val="center"/>
              <w:rPr>
                <w:b/>
                <w:bCs/>
                <w:color w:val="000000"/>
                <w:sz w:val="22"/>
                <w:szCs w:val="22"/>
              </w:rPr>
            </w:pPr>
            <w:r>
              <w:rPr>
                <w:rFonts w:cs="Arial"/>
                <w:b/>
                <w:bCs/>
                <w:sz w:val="22"/>
                <w:szCs w:val="22"/>
              </w:rPr>
              <w:t xml:space="preserve">Details </w:t>
            </w:r>
          </w:p>
        </w:tc>
        <w:tc>
          <w:tcPr>
            <w:tcW w:w="3321" w:type="dxa"/>
            <w:shd w:val="clear" w:color="auto" w:fill="D0CECE"/>
            <w:vAlign w:val="center"/>
          </w:tcPr>
          <w:p w:rsidRPr="004079D4" w:rsidR="00277AEF" w:rsidP="00F53CFD" w:rsidRDefault="00277AEF" w14:paraId="706FC37F" w14:textId="671ED547">
            <w:pPr>
              <w:jc w:val="center"/>
              <w:rPr>
                <w:b/>
                <w:bCs/>
                <w:color w:val="000000"/>
                <w:sz w:val="22"/>
                <w:szCs w:val="22"/>
              </w:rPr>
            </w:pPr>
            <w:r>
              <w:rPr>
                <w:b/>
                <w:bCs/>
                <w:color w:val="000000"/>
                <w:sz w:val="22"/>
                <w:szCs w:val="22"/>
              </w:rPr>
              <w:t>I</w:t>
            </w:r>
            <w:r w:rsidRPr="004079D4">
              <w:rPr>
                <w:b/>
                <w:bCs/>
                <w:color w:val="000000"/>
                <w:sz w:val="22"/>
                <w:szCs w:val="22"/>
              </w:rPr>
              <w:t xml:space="preserve">mplementation </w:t>
            </w:r>
          </w:p>
        </w:tc>
      </w:tr>
      <w:tr w:rsidRPr="008E75B2" w:rsidR="00A91962" w:rsidTr="00277AEF" w14:paraId="3A0A3433" w14:textId="77777777">
        <w:tc>
          <w:tcPr>
            <w:tcW w:w="3539" w:type="dxa"/>
            <w:shd w:val="clear" w:color="auto" w:fill="auto"/>
          </w:tcPr>
          <w:p w:rsidR="00A91962" w:rsidP="00A91962" w:rsidRDefault="00A91962" w14:paraId="7C50D90B" w14:textId="6398ACBB">
            <w:pPr>
              <w:jc w:val="left"/>
              <w:rPr>
                <w:rFonts w:ascii="Calibri" w:hAnsi="Calibri" w:cs="Calibri"/>
                <w:b/>
                <w:bCs/>
                <w:sz w:val="24"/>
              </w:rPr>
            </w:pPr>
            <w:r w:rsidRPr="00EA500B">
              <w:rPr>
                <w:rFonts w:ascii="Calibri" w:hAnsi="Calibri" w:cs="Calibri"/>
                <w:b/>
                <w:bCs/>
                <w:sz w:val="24"/>
              </w:rPr>
              <w:t>University Code of Practice</w:t>
            </w:r>
            <w:r>
              <w:rPr>
                <w:rFonts w:ascii="Calibri" w:hAnsi="Calibri" w:cs="Calibri"/>
                <w:b/>
                <w:bCs/>
                <w:sz w:val="24"/>
              </w:rPr>
              <w:t xml:space="preserve">: </w:t>
            </w:r>
            <w:r w:rsidR="00274864">
              <w:rPr>
                <w:rFonts w:ascii="Calibri" w:hAnsi="Calibri" w:cs="Calibri"/>
                <w:b/>
                <w:bCs/>
                <w:sz w:val="24"/>
              </w:rPr>
              <w:t>Under 18-year-olds</w:t>
            </w:r>
          </w:p>
        </w:tc>
        <w:tc>
          <w:tcPr>
            <w:tcW w:w="7088" w:type="dxa"/>
            <w:shd w:val="clear" w:color="auto" w:fill="auto"/>
          </w:tcPr>
          <w:p w:rsidR="00274864" w:rsidP="009C452C" w:rsidRDefault="001753DA" w14:paraId="09CBD7CC" w14:textId="2CFC300B">
            <w:pPr>
              <w:spacing w:after="120"/>
              <w:jc w:val="left"/>
              <w:rPr>
                <w:rFonts w:ascii="Calibri" w:hAnsi="Calibri" w:cs="Calibri"/>
                <w:color w:val="000000"/>
                <w:sz w:val="24"/>
              </w:rPr>
            </w:pPr>
            <w:r>
              <w:rPr>
                <w:rFonts w:ascii="Calibri" w:hAnsi="Calibri" w:cs="Calibri"/>
                <w:color w:val="000000"/>
                <w:sz w:val="24"/>
              </w:rPr>
              <w:t>An amendment</w:t>
            </w:r>
            <w:r w:rsidR="007C2C11">
              <w:rPr>
                <w:rFonts w:ascii="Calibri" w:hAnsi="Calibri" w:cs="Calibri"/>
                <w:color w:val="000000"/>
                <w:sz w:val="24"/>
              </w:rPr>
              <w:t xml:space="preserve"> ha</w:t>
            </w:r>
            <w:r>
              <w:rPr>
                <w:rFonts w:ascii="Calibri" w:hAnsi="Calibri" w:cs="Calibri"/>
                <w:color w:val="000000"/>
                <w:sz w:val="24"/>
              </w:rPr>
              <w:t>s</w:t>
            </w:r>
            <w:r w:rsidR="007C2C11">
              <w:rPr>
                <w:rFonts w:ascii="Calibri" w:hAnsi="Calibri" w:cs="Calibri"/>
                <w:color w:val="000000"/>
                <w:sz w:val="24"/>
              </w:rPr>
              <w:t xml:space="preserve"> been made to the Code of Practice</w:t>
            </w:r>
            <w:r>
              <w:rPr>
                <w:rFonts w:ascii="Calibri" w:hAnsi="Calibri" w:cs="Calibri"/>
                <w:color w:val="000000"/>
                <w:sz w:val="24"/>
              </w:rPr>
              <w:t xml:space="preserve"> </w:t>
            </w:r>
            <w:r w:rsidR="009C452C">
              <w:rPr>
                <w:rFonts w:ascii="Calibri" w:hAnsi="Calibri" w:cs="Calibri"/>
                <w:color w:val="000000"/>
                <w:sz w:val="24"/>
              </w:rPr>
              <w:t>concerning students under 18. A</w:t>
            </w:r>
            <w:r w:rsidRPr="009C452C" w:rsidR="009C452C">
              <w:rPr>
                <w:rFonts w:ascii="Calibri" w:hAnsi="Calibri" w:cs="Calibri"/>
                <w:color w:val="000000"/>
                <w:sz w:val="24"/>
              </w:rPr>
              <w:t xml:space="preserve"> paragraph of the Code has been revised in relation to the Student Union bar/alcohol and HUSU sports and societies.</w:t>
            </w:r>
          </w:p>
          <w:p w:rsidR="00274864" w:rsidP="00274864" w:rsidRDefault="00BF2535" w14:paraId="0B090F32" w14:textId="7D60E8B1">
            <w:pPr>
              <w:jc w:val="right"/>
              <w:rPr>
                <w:rFonts w:ascii="Calibri" w:hAnsi="Calibri" w:cs="Calibri"/>
                <w:color w:val="000000"/>
                <w:sz w:val="24"/>
              </w:rPr>
            </w:pPr>
            <w:r>
              <w:rPr>
                <w:rFonts w:ascii="Calibri" w:hAnsi="Calibri" w:cs="Calibri"/>
                <w:color w:val="000000"/>
                <w:sz w:val="24"/>
              </w:rPr>
              <w:t xml:space="preserve">Education </w:t>
            </w:r>
            <w:r w:rsidR="0024768F">
              <w:rPr>
                <w:rFonts w:ascii="Calibri" w:hAnsi="Calibri" w:cs="Calibri"/>
                <w:color w:val="000000"/>
                <w:sz w:val="24"/>
              </w:rPr>
              <w:t xml:space="preserve">Student Experience </w:t>
            </w:r>
            <w:r>
              <w:rPr>
                <w:rFonts w:ascii="Calibri" w:hAnsi="Calibri" w:cs="Calibri"/>
                <w:color w:val="000000"/>
                <w:sz w:val="24"/>
              </w:rPr>
              <w:t xml:space="preserve">Committee, </w:t>
            </w:r>
          </w:p>
          <w:p w:rsidRPr="00BF2535" w:rsidR="002E33F2" w:rsidP="00AC3C35" w:rsidRDefault="0024768F" w14:paraId="5FD94015" w14:textId="35B93544">
            <w:pPr>
              <w:jc w:val="right"/>
              <w:rPr>
                <w:rFonts w:ascii="Calibri" w:hAnsi="Calibri" w:cs="Calibri"/>
                <w:color w:val="000000"/>
                <w:sz w:val="24"/>
              </w:rPr>
            </w:pPr>
            <w:r>
              <w:rPr>
                <w:rFonts w:ascii="Calibri" w:hAnsi="Calibri" w:cs="Calibri"/>
                <w:color w:val="000000"/>
                <w:sz w:val="24"/>
              </w:rPr>
              <w:lastRenderedPageBreak/>
              <w:t>October</w:t>
            </w:r>
            <w:r w:rsidR="00274864">
              <w:rPr>
                <w:rFonts w:ascii="Calibri" w:hAnsi="Calibri" w:cs="Calibri"/>
                <w:color w:val="000000"/>
                <w:sz w:val="24"/>
              </w:rPr>
              <w:t xml:space="preserve"> </w:t>
            </w:r>
            <w:r w:rsidR="00BF2535">
              <w:rPr>
                <w:rFonts w:ascii="Calibri" w:hAnsi="Calibri" w:cs="Calibri"/>
                <w:color w:val="000000"/>
                <w:sz w:val="24"/>
              </w:rPr>
              <w:t>2023</w:t>
            </w:r>
          </w:p>
        </w:tc>
        <w:tc>
          <w:tcPr>
            <w:tcW w:w="3321" w:type="dxa"/>
          </w:tcPr>
          <w:p w:rsidRPr="00F90387" w:rsidR="007C2C11" w:rsidP="007C2C11" w:rsidRDefault="007C2C11" w14:paraId="5884285C" w14:textId="1A765283">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Pr>
                <w:rFonts w:ascii="Calibri" w:hAnsi="Calibri" w:cs="Calibri"/>
                <w:color w:val="000000"/>
                <w:sz w:val="24"/>
              </w:rPr>
              <w:t>immediate</w:t>
            </w:r>
          </w:p>
          <w:p w:rsidRPr="00F90387" w:rsidR="00A91962" w:rsidP="007C2C11" w:rsidRDefault="007C2C11" w14:paraId="3916C82D" w14:textId="00BFEAD9">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sidR="009C452C">
              <w:rPr>
                <w:rFonts w:ascii="Calibri" w:hAnsi="Calibri" w:cs="Calibri"/>
                <w:color w:val="000000"/>
                <w:sz w:val="24"/>
              </w:rPr>
              <w:t>n/a</w:t>
            </w:r>
          </w:p>
        </w:tc>
      </w:tr>
      <w:tr w:rsidRPr="008E75B2" w:rsidR="00446E79" w:rsidTr="00277AEF" w14:paraId="23F8E2DB" w14:textId="77777777">
        <w:tc>
          <w:tcPr>
            <w:tcW w:w="3539" w:type="dxa"/>
            <w:shd w:val="clear" w:color="auto" w:fill="auto"/>
          </w:tcPr>
          <w:p w:rsidRPr="00EA500B" w:rsidR="00446E79" w:rsidP="00446E79" w:rsidRDefault="00446E79" w14:paraId="38BF2E52" w14:textId="0A281E32">
            <w:pPr>
              <w:jc w:val="left"/>
              <w:rPr>
                <w:rFonts w:ascii="Calibri" w:hAnsi="Calibri" w:cs="Calibri"/>
                <w:b/>
                <w:bCs/>
                <w:sz w:val="24"/>
              </w:rPr>
            </w:pPr>
            <w:r>
              <w:rPr>
                <w:rFonts w:ascii="Calibri" w:hAnsi="Calibri" w:cs="Calibri"/>
                <w:b/>
                <w:bCs/>
                <w:sz w:val="24"/>
              </w:rPr>
              <w:t>Programme Development and Management</w:t>
            </w:r>
          </w:p>
        </w:tc>
        <w:tc>
          <w:tcPr>
            <w:tcW w:w="7088" w:type="dxa"/>
            <w:shd w:val="clear" w:color="auto" w:fill="auto"/>
          </w:tcPr>
          <w:p w:rsidR="00446E79" w:rsidP="00446E79" w:rsidRDefault="00446E79" w14:paraId="1960E385" w14:textId="401B2640">
            <w:pPr>
              <w:spacing w:after="120"/>
              <w:jc w:val="left"/>
              <w:rPr>
                <w:rFonts w:ascii="Calibri" w:hAnsi="Calibri" w:cs="Calibri"/>
                <w:color w:val="000000"/>
                <w:sz w:val="24"/>
              </w:rPr>
            </w:pPr>
            <w:r>
              <w:rPr>
                <w:rFonts w:ascii="Calibri" w:hAnsi="Calibri" w:cs="Calibri"/>
                <w:color w:val="000000"/>
                <w:sz w:val="24"/>
              </w:rPr>
              <w:t>The Short Course Application Form has been updated to include an initial checklist to be completed by the course proposer.  This will determine the nature of the activity and if Education Planning Committee consideration is required or if the proposal should be submitted to the Knowledge Exchange for information.</w:t>
            </w:r>
          </w:p>
        </w:tc>
        <w:tc>
          <w:tcPr>
            <w:tcW w:w="3321" w:type="dxa"/>
          </w:tcPr>
          <w:p w:rsidRPr="00F90387" w:rsidR="00446E79" w:rsidP="00446E79" w:rsidRDefault="00446E79" w14:paraId="6C974707"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446E79" w:rsidP="00446E79" w:rsidRDefault="00446E79" w14:paraId="35053617" w14:textId="028CD953">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w:t>
            </w:r>
            <w:r>
              <w:rPr>
                <w:rFonts w:ascii="Calibri" w:hAnsi="Calibri" w:cs="Calibri"/>
                <w:color w:val="000000"/>
                <w:sz w:val="24"/>
              </w:rPr>
              <w:t xml:space="preserve"> No</w:t>
            </w:r>
          </w:p>
        </w:tc>
      </w:tr>
      <w:tr w:rsidRPr="008E75B2" w:rsidR="00446E79" w:rsidTr="00277AEF" w14:paraId="49FE7928" w14:textId="77777777">
        <w:tc>
          <w:tcPr>
            <w:tcW w:w="3539" w:type="dxa"/>
            <w:shd w:val="clear" w:color="auto" w:fill="auto"/>
          </w:tcPr>
          <w:p w:rsidR="00446E79" w:rsidP="00446E79" w:rsidRDefault="00446E79" w14:paraId="107D4F3D" w14:textId="5987AFDC">
            <w:pPr>
              <w:jc w:val="left"/>
              <w:rPr>
                <w:rFonts w:ascii="Calibri" w:hAnsi="Calibri" w:cs="Calibri"/>
                <w:b/>
                <w:bCs/>
                <w:sz w:val="24"/>
              </w:rPr>
            </w:pPr>
            <w:r>
              <w:rPr>
                <w:rFonts w:ascii="Calibri" w:hAnsi="Calibri" w:cs="Calibri"/>
                <w:b/>
                <w:bCs/>
                <w:sz w:val="24"/>
              </w:rPr>
              <w:t>Student handbooks for Collaborative Provision (UG and PG)</w:t>
            </w:r>
          </w:p>
        </w:tc>
        <w:tc>
          <w:tcPr>
            <w:tcW w:w="7088" w:type="dxa"/>
            <w:shd w:val="clear" w:color="auto" w:fill="auto"/>
          </w:tcPr>
          <w:p w:rsidR="00446E79" w:rsidP="00446E79" w:rsidRDefault="00446E79" w14:paraId="45727253" w14:textId="77777777">
            <w:pPr>
              <w:jc w:val="left"/>
              <w:rPr>
                <w:rFonts w:ascii="Calibri" w:hAnsi="Calibri" w:cs="Calibri"/>
                <w:color w:val="000000"/>
                <w:sz w:val="24"/>
              </w:rPr>
            </w:pPr>
            <w:r>
              <w:rPr>
                <w:rFonts w:ascii="Calibri" w:hAnsi="Calibri" w:cs="Calibri"/>
                <w:color w:val="000000"/>
                <w:sz w:val="24"/>
              </w:rPr>
              <w:t>The university has updated its s</w:t>
            </w:r>
            <w:r w:rsidRPr="00CB38B7">
              <w:rPr>
                <w:rFonts w:ascii="Calibri" w:hAnsi="Calibri" w:cs="Calibri"/>
                <w:color w:val="000000"/>
                <w:sz w:val="24"/>
              </w:rPr>
              <w:t>tudent handbooks for Collaborative Provision</w:t>
            </w:r>
            <w:r>
              <w:rPr>
                <w:rFonts w:ascii="Calibri" w:hAnsi="Calibri" w:cs="Calibri"/>
                <w:color w:val="000000"/>
                <w:sz w:val="24"/>
              </w:rPr>
              <w:t xml:space="preserve"> for academic year 2024-25. Revisions include:</w:t>
            </w:r>
          </w:p>
          <w:p w:rsidR="00446E79" w:rsidP="009041E6" w:rsidRDefault="00446E79" w14:paraId="5298A71A"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 xml:space="preserve">Library </w:t>
            </w:r>
            <w:r>
              <w:rPr>
                <w:rFonts w:ascii="Calibri" w:hAnsi="Calibri" w:cs="Calibri"/>
                <w:color w:val="000000"/>
                <w:sz w:val="24"/>
              </w:rPr>
              <w:t>information – minor additions.</w:t>
            </w:r>
          </w:p>
          <w:p w:rsidR="00446E79" w:rsidP="009041E6" w:rsidRDefault="00446E79" w14:paraId="454F7F30"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Amendments to the application of ‘Late Penalty’ within Assessment</w:t>
            </w:r>
            <w:r>
              <w:rPr>
                <w:rFonts w:ascii="Calibri" w:hAnsi="Calibri" w:cs="Calibri"/>
                <w:color w:val="000000"/>
                <w:sz w:val="24"/>
              </w:rPr>
              <w:t>.</w:t>
            </w:r>
          </w:p>
          <w:p w:rsidR="00446E79" w:rsidP="009041E6" w:rsidRDefault="00446E79" w14:paraId="15CF401D"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Minor revisions to Academic Misconduct</w:t>
            </w:r>
            <w:r>
              <w:rPr>
                <w:rFonts w:ascii="Calibri" w:hAnsi="Calibri" w:cs="Calibri"/>
                <w:color w:val="000000"/>
                <w:sz w:val="24"/>
              </w:rPr>
              <w:t>.</w:t>
            </w:r>
            <w:r w:rsidRPr="00CB38B7">
              <w:rPr>
                <w:rFonts w:ascii="Calibri" w:hAnsi="Calibri" w:cs="Calibri"/>
                <w:color w:val="000000"/>
                <w:sz w:val="24"/>
              </w:rPr>
              <w:t xml:space="preserve"> </w:t>
            </w:r>
          </w:p>
          <w:p w:rsidR="00446E79" w:rsidP="009041E6" w:rsidRDefault="00446E79" w14:paraId="4ADB4CAF"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 xml:space="preserve">Revisions to </w:t>
            </w:r>
            <w:r>
              <w:rPr>
                <w:rFonts w:ascii="Calibri" w:hAnsi="Calibri" w:cs="Calibri"/>
                <w:color w:val="000000"/>
                <w:sz w:val="24"/>
              </w:rPr>
              <w:t>repeat year in order</w:t>
            </w:r>
            <w:r w:rsidRPr="00CB38B7">
              <w:rPr>
                <w:rFonts w:ascii="Calibri" w:hAnsi="Calibri" w:cs="Calibri"/>
                <w:color w:val="000000"/>
                <w:sz w:val="24"/>
              </w:rPr>
              <w:t xml:space="preserve"> to align to university regulations</w:t>
            </w:r>
            <w:r>
              <w:rPr>
                <w:rFonts w:ascii="Calibri" w:hAnsi="Calibri" w:cs="Calibri"/>
                <w:color w:val="000000"/>
                <w:sz w:val="24"/>
              </w:rPr>
              <w:t>.</w:t>
            </w:r>
            <w:r w:rsidRPr="00CB38B7">
              <w:rPr>
                <w:rFonts w:ascii="Calibri" w:hAnsi="Calibri" w:cs="Calibri"/>
                <w:color w:val="000000"/>
                <w:sz w:val="24"/>
              </w:rPr>
              <w:t xml:space="preserve"> </w:t>
            </w:r>
          </w:p>
          <w:p w:rsidR="003C501D" w:rsidP="003C501D" w:rsidRDefault="00446E79" w14:paraId="288A2536"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Hull University Student Union</w:t>
            </w:r>
            <w:r>
              <w:rPr>
                <w:rFonts w:ascii="Calibri" w:hAnsi="Calibri" w:cs="Calibri"/>
                <w:color w:val="000000"/>
                <w:sz w:val="24"/>
              </w:rPr>
              <w:t xml:space="preserve"> - minor additions.</w:t>
            </w:r>
          </w:p>
          <w:p w:rsidRPr="003C501D" w:rsidR="00446E79" w:rsidP="003C501D" w:rsidRDefault="00446E79" w14:paraId="32559773" w14:textId="652A72FC">
            <w:pPr>
              <w:pStyle w:val="ListParagraph"/>
              <w:numPr>
                <w:ilvl w:val="0"/>
                <w:numId w:val="9"/>
              </w:numPr>
              <w:jc w:val="left"/>
              <w:rPr>
                <w:rFonts w:ascii="Calibri" w:hAnsi="Calibri" w:cs="Calibri"/>
                <w:color w:val="000000"/>
                <w:sz w:val="24"/>
              </w:rPr>
            </w:pPr>
            <w:r w:rsidRPr="003C501D">
              <w:rPr>
                <w:rFonts w:ascii="Calibri" w:hAnsi="Calibri" w:cs="Calibri"/>
                <w:color w:val="000000"/>
                <w:sz w:val="24"/>
              </w:rPr>
              <w:t>Replaces learning outcomes with programme competencies.</w:t>
            </w:r>
          </w:p>
        </w:tc>
        <w:tc>
          <w:tcPr>
            <w:tcW w:w="3321" w:type="dxa"/>
          </w:tcPr>
          <w:p w:rsidRPr="00F90387" w:rsidR="00446E79" w:rsidP="00446E79" w:rsidRDefault="00446E79" w14:paraId="07FFE17D"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sidRPr="0063350E">
              <w:rPr>
                <w:rFonts w:ascii="Calibri" w:hAnsi="Calibri" w:cs="Calibri"/>
                <w:b/>
                <w:bCs/>
                <w:color w:val="000000"/>
                <w:sz w:val="24"/>
              </w:rPr>
              <w:t>2024-25</w:t>
            </w:r>
          </w:p>
          <w:p w:rsidRPr="00F90387" w:rsidR="00446E79" w:rsidP="00446E79" w:rsidRDefault="00446E79" w14:paraId="189FEAC6" w14:textId="7E7A2477">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8E75B2" w:rsidR="009041E6" w:rsidTr="00277AEF" w14:paraId="6DD5D2C3" w14:textId="77777777">
        <w:tc>
          <w:tcPr>
            <w:tcW w:w="3539" w:type="dxa"/>
            <w:shd w:val="clear" w:color="auto" w:fill="auto"/>
          </w:tcPr>
          <w:p w:rsidR="009041E6" w:rsidP="009041E6" w:rsidRDefault="009041E6" w14:paraId="7A9B640F" w14:textId="5C33FD92">
            <w:pPr>
              <w:jc w:val="left"/>
              <w:rPr>
                <w:rFonts w:ascii="Calibri" w:hAnsi="Calibri" w:cs="Calibri"/>
                <w:b/>
                <w:bCs/>
                <w:sz w:val="24"/>
              </w:rPr>
            </w:pPr>
            <w:r>
              <w:rPr>
                <w:rFonts w:ascii="Calibri" w:hAnsi="Calibri" w:cs="Calibri"/>
                <w:b/>
                <w:bCs/>
                <w:sz w:val="24"/>
              </w:rPr>
              <w:t xml:space="preserve">Exemption to the Quality and Standards Framework </w:t>
            </w:r>
          </w:p>
        </w:tc>
        <w:tc>
          <w:tcPr>
            <w:tcW w:w="7088" w:type="dxa"/>
            <w:shd w:val="clear" w:color="auto" w:fill="auto"/>
          </w:tcPr>
          <w:p w:rsidR="009041E6" w:rsidP="009041E6" w:rsidRDefault="009041E6" w14:paraId="5193BDE1" w14:textId="77777777">
            <w:pPr>
              <w:jc w:val="left"/>
              <w:rPr>
                <w:rFonts w:ascii="Calibri" w:hAnsi="Calibri" w:cs="Calibri"/>
                <w:color w:val="000000"/>
                <w:sz w:val="24"/>
              </w:rPr>
            </w:pPr>
            <w:r>
              <w:rPr>
                <w:rFonts w:ascii="Calibri" w:hAnsi="Calibri" w:cs="Calibri"/>
                <w:color w:val="000000"/>
                <w:sz w:val="24"/>
              </w:rPr>
              <w:t>A new form has been created for any applications for exemption to the Quality and Standards Framework. This can be found within the Programme Development and Management section of the Q&amp;S webpage.</w:t>
            </w:r>
          </w:p>
          <w:p w:rsidR="009041E6" w:rsidP="009041E6" w:rsidRDefault="009041E6" w14:paraId="2BE83389" w14:textId="77777777">
            <w:pPr>
              <w:jc w:val="left"/>
              <w:rPr>
                <w:rFonts w:ascii="Calibri" w:hAnsi="Calibri" w:cs="Calibri"/>
                <w:color w:val="000000"/>
                <w:sz w:val="24"/>
              </w:rPr>
            </w:pPr>
          </w:p>
          <w:p w:rsidR="009041E6" w:rsidP="009041E6" w:rsidRDefault="009041E6" w14:paraId="365A9CB8" w14:textId="060DDD99">
            <w:pPr>
              <w:jc w:val="left"/>
              <w:rPr>
                <w:rFonts w:ascii="Calibri" w:hAnsi="Calibri" w:cs="Calibri"/>
                <w:color w:val="000000"/>
                <w:sz w:val="24"/>
              </w:rPr>
            </w:pPr>
            <w:r>
              <w:rPr>
                <w:rFonts w:ascii="Calibri" w:hAnsi="Calibri" w:cs="Calibri"/>
                <w:color w:val="000000"/>
                <w:sz w:val="24"/>
              </w:rPr>
              <w:t xml:space="preserve">Applications </w:t>
            </w:r>
            <w:r w:rsidRPr="00D12088">
              <w:rPr>
                <w:rFonts w:ascii="Calibri" w:hAnsi="Calibri" w:cs="Calibri"/>
                <w:color w:val="000000"/>
                <w:sz w:val="24"/>
              </w:rPr>
              <w:t>for exemption to the Quality and Standards Framework</w:t>
            </w:r>
            <w:r>
              <w:rPr>
                <w:rFonts w:ascii="Calibri" w:hAnsi="Calibri" w:cs="Calibri"/>
                <w:color w:val="000000"/>
                <w:sz w:val="24"/>
              </w:rPr>
              <w:t xml:space="preserve"> must be approved by the </w:t>
            </w:r>
            <w:r w:rsidRPr="00D12088">
              <w:rPr>
                <w:rFonts w:ascii="Calibri" w:hAnsi="Calibri" w:cs="Calibri"/>
                <w:color w:val="000000"/>
                <w:sz w:val="24"/>
              </w:rPr>
              <w:t>Chair of Quality and Standards Committee (QSC) or Education Student Experience Committee (ESEC), as appropriate</w:t>
            </w:r>
            <w:r>
              <w:rPr>
                <w:rFonts w:ascii="Calibri" w:hAnsi="Calibri" w:cs="Calibri"/>
                <w:color w:val="000000"/>
                <w:sz w:val="24"/>
              </w:rPr>
              <w:t>.</w:t>
            </w:r>
          </w:p>
        </w:tc>
        <w:tc>
          <w:tcPr>
            <w:tcW w:w="3321" w:type="dxa"/>
          </w:tcPr>
          <w:p w:rsidRPr="00F90387" w:rsidR="009041E6" w:rsidP="009041E6" w:rsidRDefault="009041E6" w14:paraId="5CFAED5A"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9041E6" w:rsidP="009041E6" w:rsidRDefault="009041E6" w14:paraId="4D3B0FB1" w14:textId="21708D6F">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bookmarkEnd w:id="5"/>
    </w:tbl>
    <w:p w:rsidR="001753DA" w:rsidP="00675737" w:rsidRDefault="001753DA" w14:paraId="2A633BF5" w14:textId="77777777">
      <w:pPr>
        <w:pStyle w:val="Heading2"/>
        <w:rPr>
          <w:color w:val="2E74B5" w:themeColor="accent1" w:themeShade="BF"/>
        </w:rPr>
      </w:pPr>
    </w:p>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9">
        <w:r w:rsidRPr="005429C8" w:rsidR="00FE4C87">
          <w:rPr>
            <w:rStyle w:val="Hyperlink"/>
            <w:rFonts w:cs="Arial" w:asciiTheme="minorHAnsi" w:hAnsiTheme="minorHAnsi"/>
            <w:b/>
            <w:bCs/>
            <w:sz w:val="24"/>
          </w:rPr>
          <w:t>quality@hull.ac.uk</w:t>
        </w:r>
      </w:hyperlink>
    </w:p>
    <w:sectPr w:rsidRPr="007D72BA" w:rsidR="00B5313B" w:rsidSect="007914A8">
      <w:headerReference w:type="default" r:id="rId10"/>
      <w:footerReference w:type="even" r:id="rId11"/>
      <w:footerReference w:type="default" r:id="rId12"/>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6A0D6649" w:rsidR="008468A5" w:rsidRPr="00FA0444" w:rsidRDefault="008C5624" w:rsidP="00904CAD">
    <w:pPr>
      <w:pStyle w:val="Footer"/>
      <w:ind w:right="360"/>
      <w:rPr>
        <w:color w:val="808080"/>
        <w:sz w:val="16"/>
        <w:lang w:val="en-US"/>
      </w:rPr>
    </w:pPr>
    <w:r>
      <w:rPr>
        <w:color w:val="808080"/>
        <w:sz w:val="16"/>
        <w:lang w:val="en-US"/>
      </w:rPr>
      <w:t xml:space="preserve">Consolidated </w:t>
    </w:r>
    <w:r w:rsidR="008468A5">
      <w:rPr>
        <w:color w:val="808080"/>
        <w:sz w:val="16"/>
        <w:lang w:val="en-US"/>
      </w:rPr>
      <w:t xml:space="preserve">Quality and Standards </w:t>
    </w:r>
    <w:r w:rsidR="00A46443">
      <w:rPr>
        <w:color w:val="808080"/>
        <w:sz w:val="16"/>
        <w:lang w:val="en-US"/>
      </w:rPr>
      <w:t xml:space="preserve">Update: </w:t>
    </w:r>
    <w:r w:rsidR="001753DA">
      <w:rPr>
        <w:color w:val="808080"/>
        <w:sz w:val="16"/>
        <w:lang w:val="en-US"/>
      </w:rPr>
      <w:t>2023</w:t>
    </w:r>
    <w:r>
      <w:rPr>
        <w:color w:val="808080"/>
        <w:sz w:val="16"/>
        <w:lang w:val="en-US"/>
      </w:rPr>
      <w:t>-2024</w:t>
    </w:r>
  </w:p>
  <w:p w14:paraId="02859B2E" w14:textId="77777777" w:rsidR="008468A5" w:rsidRPr="00660775" w:rsidRDefault="008468A5" w:rsidP="00660775">
    <w:pPr>
      <w:pStyle w:val="Footer"/>
      <w:ind w:right="360"/>
      <w:rPr>
        <w:color w:val="8080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46F2" w14:textId="1C020B82" w:rsidR="008468A5" w:rsidRDefault="00923888" w:rsidP="007914A8">
    <w:pPr>
      <w:pStyle w:val="Header"/>
    </w:pPr>
    <w:r>
      <w:t xml:space="preserve"> </w:t>
    </w:r>
    <w:r w:rsidR="00AC3C35">
      <w:rPr>
        <w:rFonts w:ascii="Calibri" w:hAnsi="Calibri" w:cs="Calibri"/>
        <w:noProof/>
      </w:rPr>
      <w:drawing>
        <wp:inline distT="0" distB="0" distL="0" distR="0" wp14:anchorId="158040BD" wp14:editId="74404336">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14:paraId="54395581" w14:textId="77777777" w:rsidR="00923888" w:rsidRDefault="00923888" w:rsidP="007914A8">
    <w:pPr>
      <w:pStyle w:val="Header"/>
    </w:pPr>
  </w:p>
  <w:p w14:paraId="36921A6B" w14:textId="77777777" w:rsidR="00923888" w:rsidRDefault="00923888" w:rsidP="0079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4C25481"/>
    <w:multiLevelType w:val="hybridMultilevel"/>
    <w:tmpl w:val="950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5060D"/>
    <w:multiLevelType w:val="hybridMultilevel"/>
    <w:tmpl w:val="86B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389D"/>
    <w:multiLevelType w:val="hybridMultilevel"/>
    <w:tmpl w:val="2DAA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D1DB1"/>
    <w:multiLevelType w:val="hybridMultilevel"/>
    <w:tmpl w:val="7FD0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90D31"/>
    <w:multiLevelType w:val="hybridMultilevel"/>
    <w:tmpl w:val="915C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A336C"/>
    <w:multiLevelType w:val="hybridMultilevel"/>
    <w:tmpl w:val="E7984D5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5ECB605F"/>
    <w:multiLevelType w:val="hybridMultilevel"/>
    <w:tmpl w:val="C4BA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7F2915CE"/>
    <w:multiLevelType w:val="hybridMultilevel"/>
    <w:tmpl w:val="66CC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07722">
    <w:abstractNumId w:val="8"/>
  </w:num>
  <w:num w:numId="2" w16cid:durableId="1865359616">
    <w:abstractNumId w:val="9"/>
  </w:num>
  <w:num w:numId="3" w16cid:durableId="250086776">
    <w:abstractNumId w:val="0"/>
  </w:num>
  <w:num w:numId="4" w16cid:durableId="1120491062">
    <w:abstractNumId w:val="2"/>
  </w:num>
  <w:num w:numId="5" w16cid:durableId="1565525444">
    <w:abstractNumId w:val="7"/>
  </w:num>
  <w:num w:numId="6" w16cid:durableId="219365942">
    <w:abstractNumId w:val="3"/>
  </w:num>
  <w:num w:numId="7" w16cid:durableId="1038899659">
    <w:abstractNumId w:val="10"/>
  </w:num>
  <w:num w:numId="8" w16cid:durableId="700015321">
    <w:abstractNumId w:val="6"/>
  </w:num>
  <w:num w:numId="9" w16cid:durableId="193886995">
    <w:abstractNumId w:val="4"/>
  </w:num>
  <w:num w:numId="10" w16cid:durableId="1075513111">
    <w:abstractNumId w:val="1"/>
  </w:num>
  <w:num w:numId="11" w16cid:durableId="186602105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2D25"/>
    <w:rsid w:val="00002D37"/>
    <w:rsid w:val="00003279"/>
    <w:rsid w:val="000043F4"/>
    <w:rsid w:val="00005882"/>
    <w:rsid w:val="00005E65"/>
    <w:rsid w:val="00006B05"/>
    <w:rsid w:val="00007E32"/>
    <w:rsid w:val="00012512"/>
    <w:rsid w:val="00013406"/>
    <w:rsid w:val="00013626"/>
    <w:rsid w:val="000144D6"/>
    <w:rsid w:val="00014900"/>
    <w:rsid w:val="000153D3"/>
    <w:rsid w:val="00015995"/>
    <w:rsid w:val="00015AEE"/>
    <w:rsid w:val="00016D44"/>
    <w:rsid w:val="00020DAD"/>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4B8D"/>
    <w:rsid w:val="000762D5"/>
    <w:rsid w:val="000763A5"/>
    <w:rsid w:val="000807B2"/>
    <w:rsid w:val="000819DB"/>
    <w:rsid w:val="0008276A"/>
    <w:rsid w:val="000838FF"/>
    <w:rsid w:val="00084D8D"/>
    <w:rsid w:val="00085180"/>
    <w:rsid w:val="00085B49"/>
    <w:rsid w:val="000869DF"/>
    <w:rsid w:val="00086AA5"/>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1732"/>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585"/>
    <w:rsid w:val="00115CFB"/>
    <w:rsid w:val="00121101"/>
    <w:rsid w:val="001223FA"/>
    <w:rsid w:val="001227B9"/>
    <w:rsid w:val="00122B2B"/>
    <w:rsid w:val="001233F6"/>
    <w:rsid w:val="00123BA5"/>
    <w:rsid w:val="001242C3"/>
    <w:rsid w:val="001246B2"/>
    <w:rsid w:val="00124914"/>
    <w:rsid w:val="00125081"/>
    <w:rsid w:val="0012536B"/>
    <w:rsid w:val="001258DD"/>
    <w:rsid w:val="00125C98"/>
    <w:rsid w:val="00131801"/>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EFB"/>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4F84"/>
    <w:rsid w:val="0017500A"/>
    <w:rsid w:val="0017502E"/>
    <w:rsid w:val="001753DA"/>
    <w:rsid w:val="00175665"/>
    <w:rsid w:val="00175919"/>
    <w:rsid w:val="00176DCF"/>
    <w:rsid w:val="001771FA"/>
    <w:rsid w:val="00177686"/>
    <w:rsid w:val="00177C73"/>
    <w:rsid w:val="00177D03"/>
    <w:rsid w:val="001801CE"/>
    <w:rsid w:val="0018032D"/>
    <w:rsid w:val="0018074C"/>
    <w:rsid w:val="00181A2F"/>
    <w:rsid w:val="00181CAA"/>
    <w:rsid w:val="00184959"/>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72D"/>
    <w:rsid w:val="001A29C2"/>
    <w:rsid w:val="001A30A3"/>
    <w:rsid w:val="001A44D9"/>
    <w:rsid w:val="001A457D"/>
    <w:rsid w:val="001A5856"/>
    <w:rsid w:val="001A5CD4"/>
    <w:rsid w:val="001A5DFE"/>
    <w:rsid w:val="001A6258"/>
    <w:rsid w:val="001B05E9"/>
    <w:rsid w:val="001B1079"/>
    <w:rsid w:val="001B1395"/>
    <w:rsid w:val="001B25BA"/>
    <w:rsid w:val="001B36C9"/>
    <w:rsid w:val="001B3A97"/>
    <w:rsid w:val="001B451E"/>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07DB"/>
    <w:rsid w:val="001E1A85"/>
    <w:rsid w:val="001E2E6D"/>
    <w:rsid w:val="001E2EEE"/>
    <w:rsid w:val="001E40F3"/>
    <w:rsid w:val="001E5CE4"/>
    <w:rsid w:val="001E60A7"/>
    <w:rsid w:val="001E7570"/>
    <w:rsid w:val="001F0D2E"/>
    <w:rsid w:val="001F1BA8"/>
    <w:rsid w:val="001F3028"/>
    <w:rsid w:val="001F3E4D"/>
    <w:rsid w:val="001F48C3"/>
    <w:rsid w:val="001F4F66"/>
    <w:rsid w:val="001F56CA"/>
    <w:rsid w:val="001F5906"/>
    <w:rsid w:val="00200A48"/>
    <w:rsid w:val="00200FC2"/>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1B0E"/>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6D7E"/>
    <w:rsid w:val="002370B4"/>
    <w:rsid w:val="00237620"/>
    <w:rsid w:val="00237AB6"/>
    <w:rsid w:val="00237B42"/>
    <w:rsid w:val="00237E23"/>
    <w:rsid w:val="00240186"/>
    <w:rsid w:val="00242701"/>
    <w:rsid w:val="00242774"/>
    <w:rsid w:val="0024290A"/>
    <w:rsid w:val="00243364"/>
    <w:rsid w:val="0024347D"/>
    <w:rsid w:val="002445F6"/>
    <w:rsid w:val="00245016"/>
    <w:rsid w:val="002450E0"/>
    <w:rsid w:val="00245B83"/>
    <w:rsid w:val="002469EA"/>
    <w:rsid w:val="0024768F"/>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864"/>
    <w:rsid w:val="00274DB1"/>
    <w:rsid w:val="0027524B"/>
    <w:rsid w:val="0027683C"/>
    <w:rsid w:val="00277AEF"/>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B0A"/>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3F2"/>
    <w:rsid w:val="002E38C3"/>
    <w:rsid w:val="002E391C"/>
    <w:rsid w:val="002E4138"/>
    <w:rsid w:val="002E4379"/>
    <w:rsid w:val="002E60D1"/>
    <w:rsid w:val="002F0615"/>
    <w:rsid w:val="002F0CBC"/>
    <w:rsid w:val="002F1987"/>
    <w:rsid w:val="002F3029"/>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5E8F"/>
    <w:rsid w:val="003179AF"/>
    <w:rsid w:val="003224B6"/>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3D8"/>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1D"/>
    <w:rsid w:val="003C50CE"/>
    <w:rsid w:val="003C5E9F"/>
    <w:rsid w:val="003D022E"/>
    <w:rsid w:val="003D23F8"/>
    <w:rsid w:val="003D26B1"/>
    <w:rsid w:val="003D3D7E"/>
    <w:rsid w:val="003D4C29"/>
    <w:rsid w:val="003D5B05"/>
    <w:rsid w:val="003D5D4E"/>
    <w:rsid w:val="003D6AAF"/>
    <w:rsid w:val="003D7585"/>
    <w:rsid w:val="003E009A"/>
    <w:rsid w:val="003E0F7A"/>
    <w:rsid w:val="003E1C07"/>
    <w:rsid w:val="003E289A"/>
    <w:rsid w:val="003E3310"/>
    <w:rsid w:val="003E3F3A"/>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6E79"/>
    <w:rsid w:val="0044755F"/>
    <w:rsid w:val="00450DAB"/>
    <w:rsid w:val="00451406"/>
    <w:rsid w:val="00451499"/>
    <w:rsid w:val="00453FD6"/>
    <w:rsid w:val="00454244"/>
    <w:rsid w:val="00454B4B"/>
    <w:rsid w:val="004550CB"/>
    <w:rsid w:val="004559DC"/>
    <w:rsid w:val="00456B8C"/>
    <w:rsid w:val="00456E90"/>
    <w:rsid w:val="00456EB5"/>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4245"/>
    <w:rsid w:val="0049563F"/>
    <w:rsid w:val="00496BB1"/>
    <w:rsid w:val="00497243"/>
    <w:rsid w:val="004A03C2"/>
    <w:rsid w:val="004A2D3D"/>
    <w:rsid w:val="004A43EA"/>
    <w:rsid w:val="004A7043"/>
    <w:rsid w:val="004A7EED"/>
    <w:rsid w:val="004B1556"/>
    <w:rsid w:val="004B29B1"/>
    <w:rsid w:val="004B464F"/>
    <w:rsid w:val="004B57AD"/>
    <w:rsid w:val="004B5D6C"/>
    <w:rsid w:val="004C0647"/>
    <w:rsid w:val="004C1045"/>
    <w:rsid w:val="004C23FA"/>
    <w:rsid w:val="004C2C7F"/>
    <w:rsid w:val="004C2E14"/>
    <w:rsid w:val="004C3C44"/>
    <w:rsid w:val="004C491B"/>
    <w:rsid w:val="004C4C5E"/>
    <w:rsid w:val="004C6A91"/>
    <w:rsid w:val="004C6D2A"/>
    <w:rsid w:val="004C7359"/>
    <w:rsid w:val="004D02E6"/>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54A3"/>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863"/>
    <w:rsid w:val="00542915"/>
    <w:rsid w:val="00542FBB"/>
    <w:rsid w:val="005431C4"/>
    <w:rsid w:val="00544B8D"/>
    <w:rsid w:val="00546701"/>
    <w:rsid w:val="005478E8"/>
    <w:rsid w:val="00551B55"/>
    <w:rsid w:val="005532D8"/>
    <w:rsid w:val="005533E5"/>
    <w:rsid w:val="00553AB0"/>
    <w:rsid w:val="00553B2E"/>
    <w:rsid w:val="0055405E"/>
    <w:rsid w:val="00554763"/>
    <w:rsid w:val="0055477C"/>
    <w:rsid w:val="00556241"/>
    <w:rsid w:val="005607B2"/>
    <w:rsid w:val="005607DE"/>
    <w:rsid w:val="00560EA9"/>
    <w:rsid w:val="005617E9"/>
    <w:rsid w:val="00561A70"/>
    <w:rsid w:val="00561D77"/>
    <w:rsid w:val="00562DDC"/>
    <w:rsid w:val="0056354E"/>
    <w:rsid w:val="00563C4B"/>
    <w:rsid w:val="00564D49"/>
    <w:rsid w:val="00564DA8"/>
    <w:rsid w:val="00564DF8"/>
    <w:rsid w:val="00566545"/>
    <w:rsid w:val="00566B45"/>
    <w:rsid w:val="00566C2D"/>
    <w:rsid w:val="00567147"/>
    <w:rsid w:val="00567694"/>
    <w:rsid w:val="00567DD0"/>
    <w:rsid w:val="005716B1"/>
    <w:rsid w:val="005721BD"/>
    <w:rsid w:val="0057234F"/>
    <w:rsid w:val="00575FF5"/>
    <w:rsid w:val="0057743F"/>
    <w:rsid w:val="0057745A"/>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3E4B"/>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0EA7"/>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4FD5"/>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18F0"/>
    <w:rsid w:val="00612F98"/>
    <w:rsid w:val="006159EF"/>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E1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6F6C"/>
    <w:rsid w:val="006674B2"/>
    <w:rsid w:val="00670B02"/>
    <w:rsid w:val="006713AE"/>
    <w:rsid w:val="006728F9"/>
    <w:rsid w:val="00673C67"/>
    <w:rsid w:val="0067441D"/>
    <w:rsid w:val="00674913"/>
    <w:rsid w:val="00675737"/>
    <w:rsid w:val="0067608E"/>
    <w:rsid w:val="006761F8"/>
    <w:rsid w:val="00677566"/>
    <w:rsid w:val="00677777"/>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A33"/>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740E"/>
    <w:rsid w:val="006C75A6"/>
    <w:rsid w:val="006C79CD"/>
    <w:rsid w:val="006D12F3"/>
    <w:rsid w:val="006D2E7E"/>
    <w:rsid w:val="006D3D8A"/>
    <w:rsid w:val="006D78E2"/>
    <w:rsid w:val="006D7A69"/>
    <w:rsid w:val="006D7C03"/>
    <w:rsid w:val="006E1115"/>
    <w:rsid w:val="006E2A65"/>
    <w:rsid w:val="006E34A3"/>
    <w:rsid w:val="006E38A9"/>
    <w:rsid w:val="006E6A62"/>
    <w:rsid w:val="006E6B46"/>
    <w:rsid w:val="006E6F0C"/>
    <w:rsid w:val="006E7058"/>
    <w:rsid w:val="006F0BAB"/>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895"/>
    <w:rsid w:val="007C2BAE"/>
    <w:rsid w:val="007C2C11"/>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15C2"/>
    <w:rsid w:val="00802137"/>
    <w:rsid w:val="00802D05"/>
    <w:rsid w:val="008046A7"/>
    <w:rsid w:val="008048C9"/>
    <w:rsid w:val="00806D20"/>
    <w:rsid w:val="00811052"/>
    <w:rsid w:val="008121D1"/>
    <w:rsid w:val="008134C7"/>
    <w:rsid w:val="00814601"/>
    <w:rsid w:val="0081479C"/>
    <w:rsid w:val="00814B92"/>
    <w:rsid w:val="00816368"/>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0BC7"/>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A28"/>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6B"/>
    <w:rsid w:val="008C2305"/>
    <w:rsid w:val="008C2460"/>
    <w:rsid w:val="008C27C0"/>
    <w:rsid w:val="008C2E93"/>
    <w:rsid w:val="008C34BF"/>
    <w:rsid w:val="008C43D8"/>
    <w:rsid w:val="008C5624"/>
    <w:rsid w:val="008C62AA"/>
    <w:rsid w:val="008D0E81"/>
    <w:rsid w:val="008D0FA2"/>
    <w:rsid w:val="008D143B"/>
    <w:rsid w:val="008D3BD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569"/>
    <w:rsid w:val="00900FA2"/>
    <w:rsid w:val="009024EC"/>
    <w:rsid w:val="00902D0C"/>
    <w:rsid w:val="009038BA"/>
    <w:rsid w:val="009041E6"/>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0409"/>
    <w:rsid w:val="0094234D"/>
    <w:rsid w:val="00942428"/>
    <w:rsid w:val="0094267E"/>
    <w:rsid w:val="00943D78"/>
    <w:rsid w:val="009451F6"/>
    <w:rsid w:val="009464F0"/>
    <w:rsid w:val="009500CB"/>
    <w:rsid w:val="00950CC2"/>
    <w:rsid w:val="00951744"/>
    <w:rsid w:val="009520CF"/>
    <w:rsid w:val="009522A4"/>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28E5"/>
    <w:rsid w:val="009A32A9"/>
    <w:rsid w:val="009A51EC"/>
    <w:rsid w:val="009A6269"/>
    <w:rsid w:val="009A6CAE"/>
    <w:rsid w:val="009B0BC4"/>
    <w:rsid w:val="009B1104"/>
    <w:rsid w:val="009B19BD"/>
    <w:rsid w:val="009B2C6F"/>
    <w:rsid w:val="009B2DA7"/>
    <w:rsid w:val="009B3718"/>
    <w:rsid w:val="009B45B4"/>
    <w:rsid w:val="009B4775"/>
    <w:rsid w:val="009B49F7"/>
    <w:rsid w:val="009B6AEF"/>
    <w:rsid w:val="009B6C02"/>
    <w:rsid w:val="009B787C"/>
    <w:rsid w:val="009C016D"/>
    <w:rsid w:val="009C14D9"/>
    <w:rsid w:val="009C316F"/>
    <w:rsid w:val="009C355A"/>
    <w:rsid w:val="009C452C"/>
    <w:rsid w:val="009C7E86"/>
    <w:rsid w:val="009D0158"/>
    <w:rsid w:val="009D0974"/>
    <w:rsid w:val="009D1B7F"/>
    <w:rsid w:val="009D1E3B"/>
    <w:rsid w:val="009D26C5"/>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4E"/>
    <w:rsid w:val="00A15BAF"/>
    <w:rsid w:val="00A16E7E"/>
    <w:rsid w:val="00A17218"/>
    <w:rsid w:val="00A20597"/>
    <w:rsid w:val="00A21ABB"/>
    <w:rsid w:val="00A21CF7"/>
    <w:rsid w:val="00A21FC0"/>
    <w:rsid w:val="00A23022"/>
    <w:rsid w:val="00A23707"/>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5481"/>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0B17"/>
    <w:rsid w:val="00A81975"/>
    <w:rsid w:val="00A821E6"/>
    <w:rsid w:val="00A82485"/>
    <w:rsid w:val="00A82808"/>
    <w:rsid w:val="00A82E3F"/>
    <w:rsid w:val="00A83127"/>
    <w:rsid w:val="00A85DD9"/>
    <w:rsid w:val="00A85F0C"/>
    <w:rsid w:val="00A864B8"/>
    <w:rsid w:val="00A86D85"/>
    <w:rsid w:val="00A87E58"/>
    <w:rsid w:val="00A9004D"/>
    <w:rsid w:val="00A90AF5"/>
    <w:rsid w:val="00A91962"/>
    <w:rsid w:val="00A926E8"/>
    <w:rsid w:val="00A94D0F"/>
    <w:rsid w:val="00A95022"/>
    <w:rsid w:val="00A952AD"/>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4FEC"/>
    <w:rsid w:val="00AB55F5"/>
    <w:rsid w:val="00AB5913"/>
    <w:rsid w:val="00AB5DEC"/>
    <w:rsid w:val="00AB618B"/>
    <w:rsid w:val="00AC0771"/>
    <w:rsid w:val="00AC0D0D"/>
    <w:rsid w:val="00AC107B"/>
    <w:rsid w:val="00AC218C"/>
    <w:rsid w:val="00AC24F4"/>
    <w:rsid w:val="00AC2783"/>
    <w:rsid w:val="00AC3506"/>
    <w:rsid w:val="00AC3C35"/>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5D"/>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111"/>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6090"/>
    <w:rsid w:val="00B469CB"/>
    <w:rsid w:val="00B46BC3"/>
    <w:rsid w:val="00B478E2"/>
    <w:rsid w:val="00B502E5"/>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153"/>
    <w:rsid w:val="00B67A09"/>
    <w:rsid w:val="00B703D8"/>
    <w:rsid w:val="00B70670"/>
    <w:rsid w:val="00B71D21"/>
    <w:rsid w:val="00B71DBD"/>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85A25"/>
    <w:rsid w:val="00B904A2"/>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6EC"/>
    <w:rsid w:val="00BA2861"/>
    <w:rsid w:val="00BA4091"/>
    <w:rsid w:val="00BA41DD"/>
    <w:rsid w:val="00BA4A37"/>
    <w:rsid w:val="00BA5C37"/>
    <w:rsid w:val="00BA6523"/>
    <w:rsid w:val="00BA7035"/>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6C5F"/>
    <w:rsid w:val="00BD701B"/>
    <w:rsid w:val="00BE02A8"/>
    <w:rsid w:val="00BE0CDC"/>
    <w:rsid w:val="00BE1D2F"/>
    <w:rsid w:val="00BE28EF"/>
    <w:rsid w:val="00BE2E3B"/>
    <w:rsid w:val="00BE451E"/>
    <w:rsid w:val="00BE5DEB"/>
    <w:rsid w:val="00BE6BC3"/>
    <w:rsid w:val="00BE75F9"/>
    <w:rsid w:val="00BE7C6B"/>
    <w:rsid w:val="00BF0198"/>
    <w:rsid w:val="00BF2535"/>
    <w:rsid w:val="00BF264E"/>
    <w:rsid w:val="00BF2ABB"/>
    <w:rsid w:val="00BF3517"/>
    <w:rsid w:val="00BF3BE1"/>
    <w:rsid w:val="00BF415D"/>
    <w:rsid w:val="00BF45D4"/>
    <w:rsid w:val="00BF4675"/>
    <w:rsid w:val="00BF4FD8"/>
    <w:rsid w:val="00BF58BA"/>
    <w:rsid w:val="00BF683F"/>
    <w:rsid w:val="00BF685F"/>
    <w:rsid w:val="00BF7415"/>
    <w:rsid w:val="00C01ABD"/>
    <w:rsid w:val="00C01C24"/>
    <w:rsid w:val="00C043CC"/>
    <w:rsid w:val="00C04631"/>
    <w:rsid w:val="00C0627B"/>
    <w:rsid w:val="00C10E22"/>
    <w:rsid w:val="00C127FD"/>
    <w:rsid w:val="00C13A08"/>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2E38"/>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5CF7"/>
    <w:rsid w:val="00C664E6"/>
    <w:rsid w:val="00C67EF8"/>
    <w:rsid w:val="00C72662"/>
    <w:rsid w:val="00C72C2A"/>
    <w:rsid w:val="00C72CB3"/>
    <w:rsid w:val="00C739F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036C"/>
    <w:rsid w:val="00CB252B"/>
    <w:rsid w:val="00CB3CD5"/>
    <w:rsid w:val="00CB597B"/>
    <w:rsid w:val="00CB69C2"/>
    <w:rsid w:val="00CB71CA"/>
    <w:rsid w:val="00CB7815"/>
    <w:rsid w:val="00CB7CF9"/>
    <w:rsid w:val="00CC037F"/>
    <w:rsid w:val="00CC06B6"/>
    <w:rsid w:val="00CC127A"/>
    <w:rsid w:val="00CC1766"/>
    <w:rsid w:val="00CC202B"/>
    <w:rsid w:val="00CC27D4"/>
    <w:rsid w:val="00CC3B97"/>
    <w:rsid w:val="00CC44EB"/>
    <w:rsid w:val="00CC4854"/>
    <w:rsid w:val="00CC4CE0"/>
    <w:rsid w:val="00CC613D"/>
    <w:rsid w:val="00CC624A"/>
    <w:rsid w:val="00CC67CB"/>
    <w:rsid w:val="00CC7A34"/>
    <w:rsid w:val="00CD0080"/>
    <w:rsid w:val="00CD19C4"/>
    <w:rsid w:val="00CD1E84"/>
    <w:rsid w:val="00CD26CD"/>
    <w:rsid w:val="00CD2EC7"/>
    <w:rsid w:val="00CD373C"/>
    <w:rsid w:val="00CD4C9B"/>
    <w:rsid w:val="00CD531A"/>
    <w:rsid w:val="00CD55BC"/>
    <w:rsid w:val="00CD58E1"/>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5B2"/>
    <w:rsid w:val="00D30D9E"/>
    <w:rsid w:val="00D31A41"/>
    <w:rsid w:val="00D33AED"/>
    <w:rsid w:val="00D34193"/>
    <w:rsid w:val="00D36167"/>
    <w:rsid w:val="00D36FD1"/>
    <w:rsid w:val="00D37EE0"/>
    <w:rsid w:val="00D41546"/>
    <w:rsid w:val="00D41D7C"/>
    <w:rsid w:val="00D41EB2"/>
    <w:rsid w:val="00D425DE"/>
    <w:rsid w:val="00D42D05"/>
    <w:rsid w:val="00D434FE"/>
    <w:rsid w:val="00D43BA0"/>
    <w:rsid w:val="00D443F1"/>
    <w:rsid w:val="00D45387"/>
    <w:rsid w:val="00D45B1B"/>
    <w:rsid w:val="00D46B6D"/>
    <w:rsid w:val="00D51C1D"/>
    <w:rsid w:val="00D52AF3"/>
    <w:rsid w:val="00D5339C"/>
    <w:rsid w:val="00D53A90"/>
    <w:rsid w:val="00D54255"/>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0D6F"/>
    <w:rsid w:val="00DB1993"/>
    <w:rsid w:val="00DB19FC"/>
    <w:rsid w:val="00DB2A22"/>
    <w:rsid w:val="00DB5605"/>
    <w:rsid w:val="00DB5FBE"/>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0F14"/>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4B0D"/>
    <w:rsid w:val="00E1543C"/>
    <w:rsid w:val="00E17828"/>
    <w:rsid w:val="00E20C44"/>
    <w:rsid w:val="00E21600"/>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5B6C"/>
    <w:rsid w:val="00E96036"/>
    <w:rsid w:val="00E9688D"/>
    <w:rsid w:val="00EA157C"/>
    <w:rsid w:val="00EA27BF"/>
    <w:rsid w:val="00EA3F55"/>
    <w:rsid w:val="00EA420A"/>
    <w:rsid w:val="00EA466C"/>
    <w:rsid w:val="00EA47BA"/>
    <w:rsid w:val="00EA500B"/>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F081C"/>
    <w:rsid w:val="00EF296F"/>
    <w:rsid w:val="00EF3F56"/>
    <w:rsid w:val="00EF731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4891"/>
    <w:rsid w:val="00F15B74"/>
    <w:rsid w:val="00F162CD"/>
    <w:rsid w:val="00F162D1"/>
    <w:rsid w:val="00F163EE"/>
    <w:rsid w:val="00F17F24"/>
    <w:rsid w:val="00F20204"/>
    <w:rsid w:val="00F204FA"/>
    <w:rsid w:val="00F21458"/>
    <w:rsid w:val="00F22015"/>
    <w:rsid w:val="00F23C18"/>
    <w:rsid w:val="00F25E2F"/>
    <w:rsid w:val="00F26CF6"/>
    <w:rsid w:val="00F270D0"/>
    <w:rsid w:val="00F3017C"/>
    <w:rsid w:val="00F31AE2"/>
    <w:rsid w:val="00F3327D"/>
    <w:rsid w:val="00F347EC"/>
    <w:rsid w:val="00F3526B"/>
    <w:rsid w:val="00F36028"/>
    <w:rsid w:val="00F36B7A"/>
    <w:rsid w:val="00F37087"/>
    <w:rsid w:val="00F37F6A"/>
    <w:rsid w:val="00F37FC1"/>
    <w:rsid w:val="00F40998"/>
    <w:rsid w:val="00F409C6"/>
    <w:rsid w:val="00F416D2"/>
    <w:rsid w:val="00F424F3"/>
    <w:rsid w:val="00F43B31"/>
    <w:rsid w:val="00F44249"/>
    <w:rsid w:val="00F45B48"/>
    <w:rsid w:val="00F504D9"/>
    <w:rsid w:val="00F50646"/>
    <w:rsid w:val="00F51181"/>
    <w:rsid w:val="00F52518"/>
    <w:rsid w:val="00F52785"/>
    <w:rsid w:val="00F5398F"/>
    <w:rsid w:val="00F53D94"/>
    <w:rsid w:val="00F5492B"/>
    <w:rsid w:val="00F54D24"/>
    <w:rsid w:val="00F55690"/>
    <w:rsid w:val="00F567F5"/>
    <w:rsid w:val="00F56AAC"/>
    <w:rsid w:val="00F57204"/>
    <w:rsid w:val="00F57FB9"/>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6DCF"/>
    <w:rsid w:val="00FC7B80"/>
    <w:rsid w:val="00FD0A7D"/>
    <w:rsid w:val="00FD0CE5"/>
    <w:rsid w:val="00FD0DA3"/>
    <w:rsid w:val="00FD2C07"/>
    <w:rsid w:val="00FD45FE"/>
    <w:rsid w:val="00FD468E"/>
    <w:rsid w:val="00FD48C0"/>
    <w:rsid w:val="00FD4F81"/>
    <w:rsid w:val="00FD59AC"/>
    <w:rsid w:val="00FD5C22"/>
    <w:rsid w:val="00FD780A"/>
    <w:rsid w:val="00FD7C83"/>
    <w:rsid w:val="00FE058E"/>
    <w:rsid w:val="00FE0C16"/>
    <w:rsid w:val="00FE171D"/>
    <w:rsid w:val="00FE1B0D"/>
    <w:rsid w:val="00FE22E3"/>
    <w:rsid w:val="00FE31E8"/>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D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uiPriority w:val="39"/>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ees@hul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lity@hul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15</Pages>
  <Words>2098</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16091</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consolidated-qs-update-2023-24</dc:title>
  <dc:subject>
  </dc:subject>
  <dc:creator>Jane Iddon</dc:creator>
  <cp:keywords>
  </cp:keywords>
  <cp:lastModifiedBy>Catie Winter</cp:lastModifiedBy>
  <cp:revision>210</cp:revision>
  <cp:lastPrinted>2016-10-28T10:34:00Z</cp:lastPrinted>
  <dcterms:created xsi:type="dcterms:W3CDTF">2022-02-23T17:43:00Z</dcterms:created>
  <dcterms:modified xsi:type="dcterms:W3CDTF">2025-07-16T16:45:31Z</dcterms:modified>
</cp:coreProperties>
</file>