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05F6" w:rsidP="00C505F6" w:rsidRDefault="00403724" w14:paraId="5EC9821A" w14:textId="362912F1">
      <w:r w:rsidRPr="009C2553">
        <w:rPr>
          <w:b/>
          <w:bCs/>
          <w:noProof/>
        </w:rPr>
        <w:drawing>
          <wp:anchor distT="0" distB="0" distL="114300" distR="114300" simplePos="0" relativeHeight="251661312" behindDoc="0" locked="0" layoutInCell="1" allowOverlap="1" wp14:editId="7C8DB64B" wp14:anchorId="60C872C7">
            <wp:simplePos x="0" y="0"/>
            <wp:positionH relativeFrom="column">
              <wp:posOffset>127635</wp:posOffset>
            </wp:positionH>
            <wp:positionV relativeFrom="paragraph">
              <wp:posOffset>82550</wp:posOffset>
            </wp:positionV>
            <wp:extent cx="5565140" cy="722630"/>
            <wp:effectExtent l="0" t="0" r="0" b="1270"/>
            <wp:wrapTight wrapText="bothSides">
              <wp:wrapPolygon edited="0">
                <wp:start x="0" y="0"/>
                <wp:lineTo x="0" y="15374"/>
                <wp:lineTo x="148" y="18221"/>
                <wp:lineTo x="592" y="21069"/>
                <wp:lineTo x="665" y="21069"/>
                <wp:lineTo x="9390" y="21069"/>
                <wp:lineTo x="9390" y="18221"/>
                <wp:lineTo x="21516" y="18221"/>
                <wp:lineTo x="21516" y="13097"/>
                <wp:lineTo x="20851" y="9111"/>
                <wp:lineTo x="20999" y="3417"/>
                <wp:lineTo x="19446" y="2278"/>
                <wp:lineTo x="9390" y="0"/>
                <wp:lineTo x="0" y="0"/>
              </wp:wrapPolygon>
            </wp:wrapTight>
            <wp:docPr id="946869206" name="Picture 1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31741" name="Picture 12" descr="A black background with a black squa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514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05F6">
        <w:rPr>
          <w:noProof/>
        </w:rPr>
        <mc:AlternateContent>
          <mc:Choice Requires="wps">
            <w:drawing>
              <wp:anchor distT="0" distB="0" distL="114300" distR="114300" simplePos="0" relativeHeight="251659264" behindDoc="1" locked="0" layoutInCell="1" allowOverlap="1" wp14:editId="319476FF" wp14:anchorId="41537910">
                <wp:simplePos x="0" y="0"/>
                <wp:positionH relativeFrom="page">
                  <wp:align>left</wp:align>
                </wp:positionH>
                <wp:positionV relativeFrom="paragraph">
                  <wp:posOffset>-109618</wp:posOffset>
                </wp:positionV>
                <wp:extent cx="7545361" cy="1144507"/>
                <wp:effectExtent l="0" t="0" r="0" b="0"/>
                <wp:wrapNone/>
                <wp:docPr id="1886896610" name="Rectangle 1"/>
                <wp:cNvGraphicFramePr/>
                <a:graphic xmlns:a="http://schemas.openxmlformats.org/drawingml/2006/main">
                  <a:graphicData uri="http://schemas.microsoft.com/office/word/2010/wordprocessingShape">
                    <wps:wsp>
                      <wps:cNvSpPr/>
                      <wps:spPr>
                        <a:xfrm>
                          <a:off x="0" y="0"/>
                          <a:ext cx="7545361" cy="1144507"/>
                        </a:xfrm>
                        <a:prstGeom prst="rect">
                          <a:avLst/>
                        </a:prstGeom>
                        <a:solidFill>
                          <a:srgbClr val="F3BB8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8.65pt;width:594.1pt;height:90.1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f3bb89" stroked="f" strokeweight="1pt" w14:anchorId="645F3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GbfwIAAGAFAAAOAAAAZHJzL2Uyb0RvYy54bWysVE1v2zAMvQ/YfxB0X22nST+COkXaIsOA&#10;og3WDj0rshQLkEVNUuJkv36U7DhdW+ww7CJLIvlIPj/q6nrXaLIVziswJS1OckqE4VApsy7pj+fF&#10;lwtKfGCmYhqMKOleeHo9+/zpqrVTMYIadCUcQRDjp60taR2CnWaZ57VomD8BKwwaJbiGBTy6dVY5&#10;1iJ6o7NRnp9lLbjKOuDCe7y964x0lvClFDw8SulFILqkWFtIq0vrKq7Z7IpN147ZWvG+DPYPVTRM&#10;GUw6QN2xwMjGqXdQjeIOPMhwwqHJQErFReoBuynyN9081cyK1AuS4+1Ak/9/sPxh+2SXDmlorZ96&#10;3MYudtI18Yv1kV0iaz+QJXaBcLw8n4wnp2cFJRxtRTEeT/LzSGd2DLfOh68CGhI3JXX4NxJJbHvv&#10;Q+d6cInZPGhVLZTW6eDWq1vtyJbhn1uc3txcXPbof7hpE50NxLAOMd5kx2bSLuy1iH7afBeSqArL&#10;H6VKks7EkIdxLkwoOlPNKtGlLyZ5nqSCvQ0RqdMEGJEl5h+we4Co4ffYXZW9fwwVSaZDcP63wrrg&#10;ISJlBhOG4EYZcB8BaOyqz9z5H0jqqIksraDaLx1x0A2Jt3yh8L/dMx+WzOFU4PzgpIdHXKSGtqTQ&#10;7yipwf366D76o1jRSkmLU1ZS/3PDnKBEfzMo40vUTRzLdBhPzkd4cK8tq9cWs2luAeWAosPq0jb6&#10;B33YSgfNCz4I85gVTcxwzF1SHtzhcBu66ccnhYv5PLnhKFoW7s2T5RE8shp1+bx7Yc724g2o+wc4&#10;TCSbvtFw5xsjDcw3AaRKAj/y2vONY5yE0z858Z14fU5ex4dx9hsAAP//AwBQSwMEFAAGAAgAAAAh&#10;AEfLDeDlAAAADgEAAA8AAABkcnMvZG93bnJldi54bWxMjzFPwzAQhXck/oN1SCyodZKKNKRxKgRi&#10;YKBSSxjYrrFJAvE5it028Ou5TrCc7vT03r2vWE+2F0cz+s6RgngegTBUO91Ro6B6fZplIHxA0tg7&#10;Mgq+jYd1eXlRYK7dibbmuAuN4BDyOSpoQxhyKX3dGot+7gZDrH240WLgc2ykHvHE4baXSRSl0mJH&#10;/KHFwTy0pv7aHayCz+d0ur2ZKlpitUlftou3d/8TK3V9NT2ueNyvQAQzhT8HnBm4P5RcbO8OpL3o&#10;FTBNUDCLlwsQZznOsgTEnrc0uQNZFvI/RvkLAAD//wMAUEsBAi0AFAAGAAgAAAAhALaDOJL+AAAA&#10;4QEAABMAAAAAAAAAAAAAAAAAAAAAAFtDb250ZW50X1R5cGVzXS54bWxQSwECLQAUAAYACAAAACEA&#10;OP0h/9YAAACUAQAACwAAAAAAAAAAAAAAAAAvAQAAX3JlbHMvLnJlbHNQSwECLQAUAAYACAAAACEA&#10;q4yBm38CAABgBQAADgAAAAAAAAAAAAAAAAAuAgAAZHJzL2Uyb0RvYy54bWxQSwECLQAUAAYACAAA&#10;ACEAR8sN4OUAAAAOAQAADwAAAAAAAAAAAAAAAADZBAAAZHJzL2Rvd25yZXYueG1sUEsFBgAAAAAE&#10;AAQA8wAAAOsFAAAAAA==&#10;">
                <w10:wrap anchorx="page"/>
              </v:rect>
            </w:pict>
          </mc:Fallback>
        </mc:AlternateContent>
      </w:r>
    </w:p>
    <w:p w:rsidR="00C505F6" w:rsidP="00C505F6" w:rsidRDefault="00C505F6" w14:paraId="739105DF" w14:textId="77777777"/>
    <w:p w:rsidR="000929BB" w:rsidP="000703BD" w:rsidRDefault="00F7466A" w14:paraId="5AAE6B3E" w14:textId="65B5E812">
      <w:pPr>
        <w:pStyle w:val="Heading1"/>
      </w:pPr>
      <w:bookmarkStart w:name="_Toc196735679" w:id="0"/>
      <w:r>
        <w:t xml:space="preserve">Equity, Diversity, </w:t>
      </w:r>
      <w:r w:rsidR="000929BB">
        <w:t xml:space="preserve">Inclusion, </w:t>
      </w:r>
      <w:r>
        <w:t>and Accessibility (EDIA)</w:t>
      </w:r>
      <w:r w:rsidR="00555501">
        <w:t xml:space="preserve"> in</w:t>
      </w:r>
      <w:r>
        <w:t xml:space="preserve"> </w:t>
      </w:r>
      <w:r w:rsidR="000947DC">
        <w:t>Research Strategy</w:t>
      </w:r>
      <w:bookmarkEnd w:id="0"/>
    </w:p>
    <w:p w:rsidR="000703BD" w:rsidP="000703BD" w:rsidRDefault="000703BD" w14:paraId="142FD959" w14:textId="2FD4E2D1">
      <w:r>
        <w:t>Version: 1</w:t>
      </w:r>
      <w:r w:rsidR="0077323C">
        <w:t>.</w:t>
      </w:r>
      <w:r w:rsidR="00403724">
        <w:t>0</w:t>
      </w:r>
    </w:p>
    <w:p w:rsidR="0000102B" w:rsidP="000703BD" w:rsidRDefault="000703BD" w14:paraId="04F84E56" w14:textId="48F78C94">
      <w:r>
        <w:t xml:space="preserve">Date: </w:t>
      </w:r>
      <w:r w:rsidR="0069442A">
        <w:t>May</w:t>
      </w:r>
      <w:r w:rsidR="00403724">
        <w:t xml:space="preserve"> 2025</w:t>
      </w:r>
    </w:p>
    <w:p w:rsidR="0000102B" w:rsidP="000703BD" w:rsidRDefault="0000102B" w14:paraId="2AFB183E" w14:textId="77777777"/>
    <w:p w:rsidR="0000102B" w:rsidP="0000102B" w:rsidRDefault="0000102B" w14:paraId="299FD5F1" w14:textId="77777777">
      <w:pPr>
        <w:jc w:val="center"/>
        <w:rPr>
          <w:b/>
          <w:bCs/>
        </w:rPr>
      </w:pPr>
      <w:r>
        <w:rPr>
          <w:b/>
          <w:bCs/>
        </w:rPr>
        <w:t>Our partners:</w:t>
      </w:r>
    </w:p>
    <w:p w:rsidRPr="009C2553" w:rsidR="0000102B" w:rsidP="0000102B" w:rsidRDefault="0000102B" w14:paraId="73DF3B64" w14:textId="77777777">
      <w:pPr>
        <w:rPr>
          <w:noProof/>
        </w:rPr>
      </w:pPr>
      <w:r>
        <w:rPr>
          <w:noProof/>
        </w:rPr>
        <w:drawing>
          <wp:inline distT="0" distB="0" distL="0" distR="0" wp14:anchorId="1DDC8A6E" wp14:editId="30B764FF">
            <wp:extent cx="843861" cy="457200"/>
            <wp:effectExtent l="0" t="0" r="0" b="0"/>
            <wp:docPr id="316131936" name="Picture 4" descr="Hull York Medical Schoo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ull York Medical School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1696" cy="461445"/>
                    </a:xfrm>
                    <a:prstGeom prst="rect">
                      <a:avLst/>
                    </a:prstGeom>
                    <a:noFill/>
                    <a:ln>
                      <a:noFill/>
                    </a:ln>
                  </pic:spPr>
                </pic:pic>
              </a:graphicData>
            </a:graphic>
          </wp:inline>
        </w:drawing>
      </w:r>
      <w:r>
        <w:t xml:space="preserve">                                                   </w:t>
      </w:r>
      <w:r w:rsidRPr="009C2553">
        <w:t xml:space="preserve"> </w:t>
      </w:r>
      <w:r>
        <w:rPr>
          <w:noProof/>
        </w:rPr>
        <w:t xml:space="preserve">    </w:t>
      </w:r>
      <w:r>
        <w:rPr>
          <w:noProof/>
        </w:rPr>
        <w:drawing>
          <wp:inline distT="0" distB="0" distL="0" distR="0" wp14:anchorId="06AA459C" wp14:editId="476BB025">
            <wp:extent cx="732644" cy="485775"/>
            <wp:effectExtent l="0" t="0" r="0" b="0"/>
            <wp:docPr id="1628005175"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05175" name="Picture 5" descr="A black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7973" cy="495939"/>
                    </a:xfrm>
                    <a:prstGeom prst="rect">
                      <a:avLst/>
                    </a:prstGeom>
                    <a:noFill/>
                    <a:ln>
                      <a:noFill/>
                    </a:ln>
                  </pic:spPr>
                </pic:pic>
              </a:graphicData>
            </a:graphic>
          </wp:inline>
        </w:drawing>
      </w:r>
      <w:r w:rsidRPr="009C2553">
        <w:t xml:space="preserve"> </w:t>
      </w:r>
      <w:r>
        <w:rPr>
          <w:noProof/>
        </w:rPr>
        <w:t xml:space="preserve">                                      </w:t>
      </w:r>
      <w:r>
        <w:rPr>
          <w:noProof/>
        </w:rPr>
        <w:drawing>
          <wp:inline distT="0" distB="0" distL="0" distR="0" wp14:anchorId="3D7F17B6" wp14:editId="4FBD6E71">
            <wp:extent cx="1419225" cy="678074"/>
            <wp:effectExtent l="0" t="0" r="0" b="8255"/>
            <wp:docPr id="1568806384" name="Picture 7" descr="University of York Logo PNG vector in SVG, PDF, AI, CDR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iversity of York Logo PNG vector in SVG, PDF, AI, CDR forma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655" t="25852" r="11417" b="25818"/>
                    <a:stretch/>
                  </pic:blipFill>
                  <pic:spPr bwMode="auto">
                    <a:xfrm>
                      <a:off x="0" y="0"/>
                      <a:ext cx="1474524" cy="704495"/>
                    </a:xfrm>
                    <a:prstGeom prst="rect">
                      <a:avLst/>
                    </a:prstGeom>
                    <a:noFill/>
                    <a:ln>
                      <a:noFill/>
                    </a:ln>
                    <a:extLst>
                      <a:ext uri="{53640926-AAD7-44D8-BBD7-CCE9431645EC}">
                        <a14:shadowObscured xmlns:a14="http://schemas.microsoft.com/office/drawing/2010/main"/>
                      </a:ext>
                    </a:extLst>
                  </pic:spPr>
                </pic:pic>
              </a:graphicData>
            </a:graphic>
          </wp:inline>
        </w:drawing>
      </w:r>
    </w:p>
    <w:p w:rsidR="0000102B" w:rsidP="0000102B" w:rsidRDefault="0000102B" w14:paraId="55F6580C" w14:textId="77777777">
      <w:pPr>
        <w:rPr>
          <w:b/>
          <w:bCs/>
        </w:rPr>
      </w:pPr>
    </w:p>
    <w:p w:rsidR="0000102B" w:rsidP="0000102B" w:rsidRDefault="0000102B" w14:paraId="669CB3C7" w14:textId="77777777">
      <w:pPr>
        <w:jc w:val="center"/>
        <w:rPr>
          <w:b/>
          <w:bCs/>
        </w:rPr>
      </w:pPr>
      <w:r>
        <w:rPr>
          <w:b/>
          <w:bCs/>
        </w:rPr>
        <w:t>In collaboration with:</w:t>
      </w:r>
    </w:p>
    <w:p w:rsidRPr="0000102B" w:rsidR="006A1F1B" w:rsidP="000703BD" w:rsidRDefault="0000102B" w14:paraId="78EB726A" w14:textId="31D10C68">
      <w:pPr>
        <w:rPr>
          <w:b/>
          <w:bCs/>
        </w:rPr>
      </w:pPr>
      <w:r>
        <w:rPr>
          <w:noProof/>
        </w:rPr>
        <w:drawing>
          <wp:inline distT="0" distB="0" distL="0" distR="0" wp14:anchorId="3142D046" wp14:editId="6B3CE47E">
            <wp:extent cx="1331881" cy="561975"/>
            <wp:effectExtent l="0" t="0" r="1905" b="0"/>
            <wp:docPr id="1442534965" name="Picture 8" descr="Humber Teaching NHS Foundation Trust | Humber Teaching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umber Teaching NHS Foundation Trust | Humber Teaching NHS Foundation Tru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9352" cy="565127"/>
                    </a:xfrm>
                    <a:prstGeom prst="rect">
                      <a:avLst/>
                    </a:prstGeom>
                    <a:noFill/>
                    <a:ln>
                      <a:noFill/>
                    </a:ln>
                  </pic:spPr>
                </pic:pic>
              </a:graphicData>
            </a:graphic>
          </wp:inline>
        </w:drawing>
      </w:r>
      <w:r w:rsidRPr="009C2553">
        <w:t xml:space="preserve"> </w:t>
      </w:r>
      <w:r>
        <w:rPr>
          <w:noProof/>
        </w:rPr>
        <w:t xml:space="preserve">                               </w:t>
      </w:r>
      <w:r>
        <w:rPr>
          <w:noProof/>
        </w:rPr>
        <w:drawing>
          <wp:inline distT="0" distB="0" distL="0" distR="0" wp14:anchorId="1A16B887" wp14:editId="74B1C52B">
            <wp:extent cx="985401" cy="657225"/>
            <wp:effectExtent l="0" t="0" r="0" b="0"/>
            <wp:docPr id="1710733076" name="Picture 9"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33076" name="Picture 9" descr="A blue text on a black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5909" cy="664233"/>
                    </a:xfrm>
                    <a:prstGeom prst="rect">
                      <a:avLst/>
                    </a:prstGeom>
                    <a:noFill/>
                    <a:ln>
                      <a:noFill/>
                    </a:ln>
                  </pic:spPr>
                </pic:pic>
              </a:graphicData>
            </a:graphic>
          </wp:inline>
        </w:drawing>
      </w:r>
      <w:r w:rsidRPr="009C2553">
        <w:t xml:space="preserve"> </w:t>
      </w:r>
      <w:r>
        <w:rPr>
          <w:noProof/>
        </w:rPr>
        <w:t xml:space="preserve">                                         </w:t>
      </w:r>
      <w:r>
        <w:rPr>
          <w:noProof/>
        </w:rPr>
        <w:drawing>
          <wp:inline distT="0" distB="0" distL="0" distR="0" wp14:anchorId="62E5F050" wp14:editId="151450C7">
            <wp:extent cx="1070081" cy="542925"/>
            <wp:effectExtent l="0" t="0" r="0" b="0"/>
            <wp:docPr id="2065223604" name="Picture 10" descr="Hull University Teaching Hospitals NHS Trust – My Planned Car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ull University Teaching Hospitals NHS Trust – My Planned Care NH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0553" cy="558386"/>
                    </a:xfrm>
                    <a:prstGeom prst="rect">
                      <a:avLst/>
                    </a:prstGeom>
                    <a:noFill/>
                    <a:ln>
                      <a:noFill/>
                    </a:ln>
                  </pic:spPr>
                </pic:pic>
              </a:graphicData>
            </a:graphic>
          </wp:inline>
        </w:drawing>
      </w:r>
    </w:p>
    <w:p w:rsidR="000947DC" w:rsidP="000947DC" w:rsidRDefault="000947DC" w14:paraId="58F0BF24" w14:textId="52124B22"/>
    <w:p w:rsidR="0000102B" w:rsidP="000947DC" w:rsidRDefault="0000102B" w14:paraId="154127E8" w14:textId="77777777"/>
    <w:p w:rsidR="000947DC" w:rsidP="0017184A" w:rsidRDefault="000947DC" w14:paraId="268B8504" w14:textId="7BA6A91F">
      <w:pPr>
        <w:pStyle w:val="Heading1"/>
      </w:pPr>
      <w:bookmarkStart w:name="_Toc196735680" w:id="1"/>
      <w:r>
        <w:t>Contact</w:t>
      </w:r>
      <w:bookmarkEnd w:id="1"/>
    </w:p>
    <w:p w:rsidR="004E7663" w:rsidP="004E7663" w:rsidRDefault="004E7663" w14:paraId="3CA2FEA2" w14:textId="318514EF">
      <w:r>
        <w:t xml:space="preserve">Centre for Addiction and Mental Health Research (CAMHR) </w:t>
      </w:r>
      <w:hyperlink w:history="1" r:id="rId15">
        <w:r w:rsidRPr="007C0D8D">
          <w:rPr>
            <w:rStyle w:val="Hyperlink"/>
          </w:rPr>
          <w:t>CAMHR@hull.ac.uk</w:t>
        </w:r>
      </w:hyperlink>
      <w:r>
        <w:t xml:space="preserve"> </w:t>
      </w:r>
    </w:p>
    <w:p w:rsidR="004B5802" w:rsidP="004E7663" w:rsidRDefault="004B5802" w14:paraId="221814A9" w14:textId="4BF16DA5">
      <w:r>
        <w:t xml:space="preserve">Dr Tyler Mills (Research Fellow, University of Hull) </w:t>
      </w:r>
      <w:hyperlink w:history="1" r:id="rId16">
        <w:r w:rsidRPr="007C0D8D">
          <w:rPr>
            <w:rStyle w:val="Hyperlink"/>
          </w:rPr>
          <w:t>t.j.mills@hull.ac.uk</w:t>
        </w:r>
      </w:hyperlink>
      <w:r>
        <w:t xml:space="preserve"> </w:t>
      </w:r>
    </w:p>
    <w:p w:rsidR="00A6073E" w:rsidP="000947DC" w:rsidRDefault="00792A72" w14:paraId="55038DBA" w14:textId="78D5C993">
      <w:r>
        <w:t>Professor Cynthia Iglesias (</w:t>
      </w:r>
      <w:r w:rsidR="00AB309D">
        <w:t>Co-Applicant, Professor of Health Economics</w:t>
      </w:r>
      <w:r w:rsidR="0002015A">
        <w:t>, University of York</w:t>
      </w:r>
      <w:r w:rsidR="00AB309D">
        <w:t xml:space="preserve">) </w:t>
      </w:r>
      <w:hyperlink w:history="1" r:id="rId17">
        <w:r w:rsidRPr="007C0D8D" w:rsidR="0002015A">
          <w:rPr>
            <w:rStyle w:val="Hyperlink"/>
          </w:rPr>
          <w:t>cynthia.iglesias@york.ac.uk</w:t>
        </w:r>
      </w:hyperlink>
    </w:p>
    <w:p w:rsidR="0002015A" w:rsidP="000947DC" w:rsidRDefault="00A6073E" w14:paraId="7CCC0231" w14:textId="7B1BFBEB">
      <w:r>
        <w:t>Dr Philip Kerrigan (</w:t>
      </w:r>
      <w:r w:rsidR="00276C2F">
        <w:t xml:space="preserve">Project manager, University of York) </w:t>
      </w:r>
      <w:hyperlink w:history="1" r:id="rId18">
        <w:r w:rsidRPr="007C0D8D" w:rsidR="00B376B8">
          <w:rPr>
            <w:rStyle w:val="Hyperlink"/>
          </w:rPr>
          <w:t>philip.kerrigan@york.ac.uk</w:t>
        </w:r>
      </w:hyperlink>
      <w:r w:rsidR="00B376B8">
        <w:t xml:space="preserve"> </w:t>
      </w:r>
    </w:p>
    <w:p w:rsidR="00B376B8" w:rsidP="000947DC" w:rsidRDefault="00B376B8" w14:paraId="0A15206B" w14:textId="5541018F">
      <w:r>
        <w:t>Sarah Capes (</w:t>
      </w:r>
      <w:r w:rsidR="00F7466A">
        <w:t>Patient and Public Involvement and Engagement [</w:t>
      </w:r>
      <w:r w:rsidR="00F03226">
        <w:t>PPIE</w:t>
      </w:r>
      <w:r w:rsidR="00F7466A">
        <w:t>]</w:t>
      </w:r>
      <w:r w:rsidR="00B71421">
        <w:t xml:space="preserve"> </w:t>
      </w:r>
      <w:r w:rsidR="00F03226">
        <w:t xml:space="preserve">coordinator for adults) </w:t>
      </w:r>
      <w:hyperlink w:history="1" r:id="rId19">
        <w:r w:rsidRPr="007C0D8D" w:rsidR="00F03226">
          <w:rPr>
            <w:rStyle w:val="Hyperlink"/>
          </w:rPr>
          <w:t>s.capes2@hull.ac.uk</w:t>
        </w:r>
      </w:hyperlink>
    </w:p>
    <w:p w:rsidR="000954EF" w:rsidP="006F2408" w:rsidRDefault="00F03226" w14:paraId="567EE7F7" w14:textId="0054B3D5">
      <w:proofErr w:type="spellStart"/>
      <w:r>
        <w:t>Ayisja</w:t>
      </w:r>
      <w:proofErr w:type="spellEnd"/>
      <w:r>
        <w:t xml:space="preserve"> Moss (PPIE coordinator for young people) </w:t>
      </w:r>
      <w:hyperlink w:history="1" r:id="rId20">
        <w:r w:rsidRPr="007C0D8D" w:rsidR="00712C38">
          <w:rPr>
            <w:rStyle w:val="Hyperlink"/>
          </w:rPr>
          <w:t>a.moss2@hull.ac.uk</w:t>
        </w:r>
      </w:hyperlink>
      <w:r w:rsidR="00712C38">
        <w:t xml:space="preserve"> </w:t>
      </w:r>
    </w:p>
    <w:sdt>
      <w:sdtPr>
        <w:rPr>
          <w:rFonts w:asciiTheme="minorHAnsi" w:hAnsiTheme="minorHAnsi" w:eastAsiaTheme="minorHAnsi" w:cstheme="minorBidi"/>
          <w:color w:val="auto"/>
          <w:kern w:val="2"/>
          <w:sz w:val="22"/>
          <w:szCs w:val="22"/>
          <w:lang w:val="en-GB"/>
          <w14:ligatures w14:val="standardContextual"/>
        </w:rPr>
        <w:id w:val="1069002313"/>
        <w:docPartObj>
          <w:docPartGallery w:val="Table of Contents"/>
          <w:docPartUnique/>
        </w:docPartObj>
      </w:sdtPr>
      <w:sdtEndPr>
        <w:rPr>
          <w:b/>
          <w:bCs/>
          <w:noProof/>
        </w:rPr>
      </w:sdtEndPr>
      <w:sdtContent>
        <w:p w:rsidR="006F2408" w:rsidRDefault="006F2408" w14:paraId="0854B92D" w14:textId="0230A950">
          <w:pPr>
            <w:pStyle w:val="TOCHeading"/>
          </w:pPr>
          <w:r>
            <w:t>Table of Contents</w:t>
          </w:r>
        </w:p>
        <w:p w:rsidRPr="00B549EB" w:rsidR="00B549EB" w:rsidP="00B549EB" w:rsidRDefault="00B549EB" w14:paraId="7FA49CCD" w14:textId="77777777">
          <w:pPr>
            <w:rPr>
              <w:lang w:val="en-US"/>
            </w:rPr>
          </w:pPr>
        </w:p>
        <w:p w:rsidR="00DB7E27" w:rsidRDefault="0017172E" w14:paraId="76F29085" w14:textId="48D8426B">
          <w:pPr>
            <w:pStyle w:val="TOC1"/>
            <w:tabs>
              <w:tab w:val="right" w:leader="dot" w:pos="9016"/>
            </w:tabs>
            <w:rPr>
              <w:rFonts w:eastAsiaTheme="minorEastAsia"/>
              <w:noProof/>
              <w:sz w:val="24"/>
              <w:szCs w:val="24"/>
              <w:lang w:eastAsia="en-GB"/>
            </w:rPr>
          </w:pPr>
          <w:r>
            <w:fldChar w:fldCharType="begin"/>
          </w:r>
          <w:r>
            <w:instrText xml:space="preserve"> TOC \o "1-3" \u </w:instrText>
          </w:r>
          <w:r>
            <w:fldChar w:fldCharType="separate"/>
          </w:r>
          <w:r w:rsidR="00DB7E27">
            <w:rPr>
              <w:noProof/>
            </w:rPr>
            <w:t>Equity, Diversity, Inclusion, and Accessibility (EDIA) in Research Strategy</w:t>
          </w:r>
          <w:r w:rsidR="00DB7E27">
            <w:rPr>
              <w:noProof/>
            </w:rPr>
            <w:tab/>
          </w:r>
          <w:r w:rsidR="00DB7E27">
            <w:rPr>
              <w:noProof/>
            </w:rPr>
            <w:fldChar w:fldCharType="begin"/>
          </w:r>
          <w:r w:rsidR="00DB7E27">
            <w:rPr>
              <w:noProof/>
            </w:rPr>
            <w:instrText xml:space="preserve"> PAGEREF _Toc196735679 \h </w:instrText>
          </w:r>
          <w:r w:rsidR="00DB7E27">
            <w:rPr>
              <w:noProof/>
            </w:rPr>
          </w:r>
          <w:r w:rsidR="00DB7E27">
            <w:rPr>
              <w:noProof/>
            </w:rPr>
            <w:fldChar w:fldCharType="separate"/>
          </w:r>
          <w:r w:rsidR="00DB7E27">
            <w:rPr>
              <w:noProof/>
            </w:rPr>
            <w:t>1</w:t>
          </w:r>
          <w:r w:rsidR="00DB7E27">
            <w:rPr>
              <w:noProof/>
            </w:rPr>
            <w:fldChar w:fldCharType="end"/>
          </w:r>
        </w:p>
        <w:p w:rsidR="00DB7E27" w:rsidRDefault="00DB7E27" w14:paraId="529F238B" w14:textId="13F56456">
          <w:pPr>
            <w:pStyle w:val="TOC1"/>
            <w:tabs>
              <w:tab w:val="right" w:leader="dot" w:pos="9016"/>
            </w:tabs>
            <w:rPr>
              <w:rFonts w:eastAsiaTheme="minorEastAsia"/>
              <w:noProof/>
              <w:sz w:val="24"/>
              <w:szCs w:val="24"/>
              <w:lang w:eastAsia="en-GB"/>
            </w:rPr>
          </w:pPr>
          <w:r>
            <w:rPr>
              <w:noProof/>
            </w:rPr>
            <w:t>Contact</w:t>
          </w:r>
          <w:r>
            <w:rPr>
              <w:noProof/>
            </w:rPr>
            <w:tab/>
          </w:r>
          <w:r>
            <w:rPr>
              <w:noProof/>
            </w:rPr>
            <w:fldChar w:fldCharType="begin"/>
          </w:r>
          <w:r>
            <w:rPr>
              <w:noProof/>
            </w:rPr>
            <w:instrText xml:space="preserve"> PAGEREF _Toc196735680 \h </w:instrText>
          </w:r>
          <w:r>
            <w:rPr>
              <w:noProof/>
            </w:rPr>
          </w:r>
          <w:r>
            <w:rPr>
              <w:noProof/>
            </w:rPr>
            <w:fldChar w:fldCharType="separate"/>
          </w:r>
          <w:r>
            <w:rPr>
              <w:noProof/>
            </w:rPr>
            <w:t>1</w:t>
          </w:r>
          <w:r>
            <w:rPr>
              <w:noProof/>
            </w:rPr>
            <w:fldChar w:fldCharType="end"/>
          </w:r>
        </w:p>
        <w:p w:rsidR="00DB7E27" w:rsidRDefault="00DB7E27" w14:paraId="3E23749F" w14:textId="2012431D">
          <w:pPr>
            <w:pStyle w:val="TOC1"/>
            <w:tabs>
              <w:tab w:val="right" w:leader="dot" w:pos="9016"/>
            </w:tabs>
            <w:rPr>
              <w:rFonts w:eastAsiaTheme="minorEastAsia"/>
              <w:noProof/>
              <w:sz w:val="24"/>
              <w:szCs w:val="24"/>
              <w:lang w:eastAsia="en-GB"/>
            </w:rPr>
          </w:pPr>
          <w:r>
            <w:rPr>
              <w:noProof/>
            </w:rPr>
            <w:t>1. Governance</w:t>
          </w:r>
          <w:r>
            <w:rPr>
              <w:noProof/>
            </w:rPr>
            <w:tab/>
          </w:r>
          <w:r>
            <w:rPr>
              <w:noProof/>
            </w:rPr>
            <w:fldChar w:fldCharType="begin"/>
          </w:r>
          <w:r>
            <w:rPr>
              <w:noProof/>
            </w:rPr>
            <w:instrText xml:space="preserve"> PAGEREF _Toc196735681 \h </w:instrText>
          </w:r>
          <w:r>
            <w:rPr>
              <w:noProof/>
            </w:rPr>
          </w:r>
          <w:r>
            <w:rPr>
              <w:noProof/>
            </w:rPr>
            <w:fldChar w:fldCharType="separate"/>
          </w:r>
          <w:r>
            <w:rPr>
              <w:noProof/>
            </w:rPr>
            <w:t>3</w:t>
          </w:r>
          <w:r>
            <w:rPr>
              <w:noProof/>
            </w:rPr>
            <w:fldChar w:fldCharType="end"/>
          </w:r>
        </w:p>
        <w:p w:rsidR="00DB7E27" w:rsidRDefault="00DB7E27" w14:paraId="713DCB87" w14:textId="4EC74704">
          <w:pPr>
            <w:pStyle w:val="TOC1"/>
            <w:tabs>
              <w:tab w:val="right" w:leader="dot" w:pos="9016"/>
            </w:tabs>
            <w:rPr>
              <w:rFonts w:eastAsiaTheme="minorEastAsia"/>
              <w:noProof/>
              <w:sz w:val="24"/>
              <w:szCs w:val="24"/>
              <w:lang w:eastAsia="en-GB"/>
            </w:rPr>
          </w:pPr>
          <w:r>
            <w:rPr>
              <w:noProof/>
            </w:rPr>
            <w:t>2. Our EDIA Vision</w:t>
          </w:r>
          <w:r>
            <w:rPr>
              <w:noProof/>
            </w:rPr>
            <w:tab/>
          </w:r>
          <w:r>
            <w:rPr>
              <w:noProof/>
            </w:rPr>
            <w:fldChar w:fldCharType="begin"/>
          </w:r>
          <w:r>
            <w:rPr>
              <w:noProof/>
            </w:rPr>
            <w:instrText xml:space="preserve"> PAGEREF _Toc196735682 \h </w:instrText>
          </w:r>
          <w:r>
            <w:rPr>
              <w:noProof/>
            </w:rPr>
          </w:r>
          <w:r>
            <w:rPr>
              <w:noProof/>
            </w:rPr>
            <w:fldChar w:fldCharType="separate"/>
          </w:r>
          <w:r>
            <w:rPr>
              <w:noProof/>
            </w:rPr>
            <w:t>3</w:t>
          </w:r>
          <w:r>
            <w:rPr>
              <w:noProof/>
            </w:rPr>
            <w:fldChar w:fldCharType="end"/>
          </w:r>
        </w:p>
        <w:p w:rsidR="00DB7E27" w:rsidRDefault="00DB7E27" w14:paraId="6AB5FD17" w14:textId="6926CC9E">
          <w:pPr>
            <w:pStyle w:val="TOC2"/>
            <w:tabs>
              <w:tab w:val="right" w:leader="dot" w:pos="9016"/>
            </w:tabs>
            <w:rPr>
              <w:rFonts w:eastAsiaTheme="minorEastAsia"/>
              <w:noProof/>
              <w:sz w:val="24"/>
              <w:szCs w:val="24"/>
              <w:lang w:eastAsia="en-GB"/>
            </w:rPr>
          </w:pPr>
          <w:r>
            <w:rPr>
              <w:noProof/>
            </w:rPr>
            <w:t>2.1. Reducing inequities in addiction and mental health research</w:t>
          </w:r>
          <w:r>
            <w:rPr>
              <w:noProof/>
            </w:rPr>
            <w:tab/>
          </w:r>
          <w:r>
            <w:rPr>
              <w:noProof/>
            </w:rPr>
            <w:fldChar w:fldCharType="begin"/>
          </w:r>
          <w:r>
            <w:rPr>
              <w:noProof/>
            </w:rPr>
            <w:instrText xml:space="preserve"> PAGEREF _Toc196735683 \h </w:instrText>
          </w:r>
          <w:r>
            <w:rPr>
              <w:noProof/>
            </w:rPr>
          </w:r>
          <w:r>
            <w:rPr>
              <w:noProof/>
            </w:rPr>
            <w:fldChar w:fldCharType="separate"/>
          </w:r>
          <w:r>
            <w:rPr>
              <w:noProof/>
            </w:rPr>
            <w:t>4</w:t>
          </w:r>
          <w:r>
            <w:rPr>
              <w:noProof/>
            </w:rPr>
            <w:fldChar w:fldCharType="end"/>
          </w:r>
        </w:p>
        <w:p w:rsidR="00DB7E27" w:rsidRDefault="00DB7E27" w14:paraId="62BB4FB8" w14:textId="60D04307">
          <w:pPr>
            <w:pStyle w:val="TOC2"/>
            <w:tabs>
              <w:tab w:val="right" w:leader="dot" w:pos="9016"/>
            </w:tabs>
            <w:rPr>
              <w:rFonts w:eastAsiaTheme="minorEastAsia"/>
              <w:noProof/>
              <w:sz w:val="24"/>
              <w:szCs w:val="24"/>
              <w:lang w:eastAsia="en-GB"/>
            </w:rPr>
          </w:pPr>
          <w:r>
            <w:rPr>
              <w:noProof/>
            </w:rPr>
            <w:t>3. Our Core EDIA Objectives</w:t>
          </w:r>
          <w:r>
            <w:rPr>
              <w:noProof/>
            </w:rPr>
            <w:tab/>
          </w:r>
          <w:r>
            <w:rPr>
              <w:noProof/>
            </w:rPr>
            <w:fldChar w:fldCharType="begin"/>
          </w:r>
          <w:r>
            <w:rPr>
              <w:noProof/>
            </w:rPr>
            <w:instrText xml:space="preserve"> PAGEREF _Toc196735684 \h </w:instrText>
          </w:r>
          <w:r>
            <w:rPr>
              <w:noProof/>
            </w:rPr>
          </w:r>
          <w:r>
            <w:rPr>
              <w:noProof/>
            </w:rPr>
            <w:fldChar w:fldCharType="separate"/>
          </w:r>
          <w:r>
            <w:rPr>
              <w:noProof/>
            </w:rPr>
            <w:t>5</w:t>
          </w:r>
          <w:r>
            <w:rPr>
              <w:noProof/>
            </w:rPr>
            <w:fldChar w:fldCharType="end"/>
          </w:r>
        </w:p>
        <w:p w:rsidR="00DB7E27" w:rsidRDefault="00DB7E27" w14:paraId="46EE230E" w14:textId="6D24F707">
          <w:pPr>
            <w:pStyle w:val="TOC3"/>
            <w:tabs>
              <w:tab w:val="right" w:leader="dot" w:pos="9016"/>
            </w:tabs>
            <w:rPr>
              <w:rFonts w:eastAsiaTheme="minorEastAsia"/>
              <w:noProof/>
              <w:sz w:val="24"/>
              <w:szCs w:val="24"/>
              <w:lang w:eastAsia="en-GB"/>
            </w:rPr>
          </w:pPr>
          <w:r>
            <w:rPr>
              <w:noProof/>
            </w:rPr>
            <w:t>3.1. Promote diversity in leadership and research teams</w:t>
          </w:r>
          <w:r>
            <w:rPr>
              <w:noProof/>
            </w:rPr>
            <w:tab/>
          </w:r>
          <w:r>
            <w:rPr>
              <w:noProof/>
            </w:rPr>
            <w:fldChar w:fldCharType="begin"/>
          </w:r>
          <w:r>
            <w:rPr>
              <w:noProof/>
            </w:rPr>
            <w:instrText xml:space="preserve"> PAGEREF _Toc196735685 \h </w:instrText>
          </w:r>
          <w:r>
            <w:rPr>
              <w:noProof/>
            </w:rPr>
          </w:r>
          <w:r>
            <w:rPr>
              <w:noProof/>
            </w:rPr>
            <w:fldChar w:fldCharType="separate"/>
          </w:r>
          <w:r>
            <w:rPr>
              <w:noProof/>
            </w:rPr>
            <w:t>5</w:t>
          </w:r>
          <w:r>
            <w:rPr>
              <w:noProof/>
            </w:rPr>
            <w:fldChar w:fldCharType="end"/>
          </w:r>
        </w:p>
        <w:p w:rsidR="00DB7E27" w:rsidRDefault="00DB7E27" w14:paraId="38C3A86D" w14:textId="411CEEAB">
          <w:pPr>
            <w:pStyle w:val="TOC3"/>
            <w:tabs>
              <w:tab w:val="right" w:leader="dot" w:pos="9016"/>
            </w:tabs>
            <w:rPr>
              <w:rFonts w:eastAsiaTheme="minorEastAsia"/>
              <w:noProof/>
              <w:sz w:val="24"/>
              <w:szCs w:val="24"/>
              <w:lang w:eastAsia="en-GB"/>
            </w:rPr>
          </w:pPr>
          <w:r>
            <w:rPr>
              <w:noProof/>
            </w:rPr>
            <w:t>3.2. Create a collaborative and equitable research culture</w:t>
          </w:r>
          <w:r>
            <w:rPr>
              <w:noProof/>
            </w:rPr>
            <w:tab/>
          </w:r>
          <w:r>
            <w:rPr>
              <w:noProof/>
            </w:rPr>
            <w:fldChar w:fldCharType="begin"/>
          </w:r>
          <w:r>
            <w:rPr>
              <w:noProof/>
            </w:rPr>
            <w:instrText xml:space="preserve"> PAGEREF _Toc196735686 \h </w:instrText>
          </w:r>
          <w:r>
            <w:rPr>
              <w:noProof/>
            </w:rPr>
          </w:r>
          <w:r>
            <w:rPr>
              <w:noProof/>
            </w:rPr>
            <w:fldChar w:fldCharType="separate"/>
          </w:r>
          <w:r>
            <w:rPr>
              <w:noProof/>
            </w:rPr>
            <w:t>6</w:t>
          </w:r>
          <w:r>
            <w:rPr>
              <w:noProof/>
            </w:rPr>
            <w:fldChar w:fldCharType="end"/>
          </w:r>
        </w:p>
        <w:p w:rsidR="00DB7E27" w:rsidRDefault="00DB7E27" w14:paraId="45213D5B" w14:textId="71055FD5">
          <w:pPr>
            <w:pStyle w:val="TOC3"/>
            <w:tabs>
              <w:tab w:val="right" w:leader="dot" w:pos="9016"/>
            </w:tabs>
            <w:rPr>
              <w:rFonts w:eastAsiaTheme="minorEastAsia"/>
              <w:noProof/>
              <w:sz w:val="24"/>
              <w:szCs w:val="24"/>
              <w:lang w:eastAsia="en-GB"/>
            </w:rPr>
          </w:pPr>
          <w:r>
            <w:rPr>
              <w:noProof/>
            </w:rPr>
            <w:t>3.3. Provide an accessible and inclusive research environment</w:t>
          </w:r>
          <w:r>
            <w:rPr>
              <w:noProof/>
            </w:rPr>
            <w:tab/>
          </w:r>
          <w:r>
            <w:rPr>
              <w:noProof/>
            </w:rPr>
            <w:fldChar w:fldCharType="begin"/>
          </w:r>
          <w:r>
            <w:rPr>
              <w:noProof/>
            </w:rPr>
            <w:instrText xml:space="preserve"> PAGEREF _Toc196735687 \h </w:instrText>
          </w:r>
          <w:r>
            <w:rPr>
              <w:noProof/>
            </w:rPr>
          </w:r>
          <w:r>
            <w:rPr>
              <w:noProof/>
            </w:rPr>
            <w:fldChar w:fldCharType="separate"/>
          </w:r>
          <w:r>
            <w:rPr>
              <w:noProof/>
            </w:rPr>
            <w:t>6</w:t>
          </w:r>
          <w:r>
            <w:rPr>
              <w:noProof/>
            </w:rPr>
            <w:fldChar w:fldCharType="end"/>
          </w:r>
        </w:p>
        <w:p w:rsidR="00DB7E27" w:rsidRDefault="00DB7E27" w14:paraId="273BAB25" w14:textId="2E5F43F1">
          <w:pPr>
            <w:pStyle w:val="TOC2"/>
            <w:tabs>
              <w:tab w:val="right" w:leader="dot" w:pos="9016"/>
            </w:tabs>
            <w:rPr>
              <w:rFonts w:eastAsiaTheme="minorEastAsia"/>
              <w:noProof/>
              <w:sz w:val="24"/>
              <w:szCs w:val="24"/>
              <w:lang w:eastAsia="en-GB"/>
            </w:rPr>
          </w:pPr>
          <w:r>
            <w:rPr>
              <w:noProof/>
            </w:rPr>
            <w:t>4. Monitoring our EDIA objectives</w:t>
          </w:r>
          <w:r>
            <w:rPr>
              <w:noProof/>
            </w:rPr>
            <w:tab/>
          </w:r>
          <w:r>
            <w:rPr>
              <w:noProof/>
            </w:rPr>
            <w:fldChar w:fldCharType="begin"/>
          </w:r>
          <w:r>
            <w:rPr>
              <w:noProof/>
            </w:rPr>
            <w:instrText xml:space="preserve"> PAGEREF _Toc196735688 \h </w:instrText>
          </w:r>
          <w:r>
            <w:rPr>
              <w:noProof/>
            </w:rPr>
          </w:r>
          <w:r>
            <w:rPr>
              <w:noProof/>
            </w:rPr>
            <w:fldChar w:fldCharType="separate"/>
          </w:r>
          <w:r>
            <w:rPr>
              <w:noProof/>
            </w:rPr>
            <w:t>7</w:t>
          </w:r>
          <w:r>
            <w:rPr>
              <w:noProof/>
            </w:rPr>
            <w:fldChar w:fldCharType="end"/>
          </w:r>
        </w:p>
        <w:p w:rsidR="00DB7E27" w:rsidRDefault="00DB7E27" w14:paraId="3721712D" w14:textId="2E700F3C">
          <w:pPr>
            <w:pStyle w:val="TOC3"/>
            <w:tabs>
              <w:tab w:val="right" w:leader="dot" w:pos="9016"/>
            </w:tabs>
            <w:rPr>
              <w:rFonts w:eastAsiaTheme="minorEastAsia"/>
              <w:noProof/>
              <w:sz w:val="24"/>
              <w:szCs w:val="24"/>
              <w:lang w:eastAsia="en-GB"/>
            </w:rPr>
          </w:pPr>
          <w:r>
            <w:rPr>
              <w:noProof/>
            </w:rPr>
            <w:t>4.1. Promote diversity in leadership and research teams</w:t>
          </w:r>
          <w:r>
            <w:rPr>
              <w:noProof/>
            </w:rPr>
            <w:tab/>
          </w:r>
          <w:r>
            <w:rPr>
              <w:noProof/>
            </w:rPr>
            <w:fldChar w:fldCharType="begin"/>
          </w:r>
          <w:r>
            <w:rPr>
              <w:noProof/>
            </w:rPr>
            <w:instrText xml:space="preserve"> PAGEREF _Toc196735689 \h </w:instrText>
          </w:r>
          <w:r>
            <w:rPr>
              <w:noProof/>
            </w:rPr>
          </w:r>
          <w:r>
            <w:rPr>
              <w:noProof/>
            </w:rPr>
            <w:fldChar w:fldCharType="separate"/>
          </w:r>
          <w:r>
            <w:rPr>
              <w:noProof/>
            </w:rPr>
            <w:t>7</w:t>
          </w:r>
          <w:r>
            <w:rPr>
              <w:noProof/>
            </w:rPr>
            <w:fldChar w:fldCharType="end"/>
          </w:r>
        </w:p>
        <w:p w:rsidR="00DB7E27" w:rsidRDefault="00DB7E27" w14:paraId="18FF90CF" w14:textId="5DE52A19">
          <w:pPr>
            <w:pStyle w:val="TOC3"/>
            <w:tabs>
              <w:tab w:val="right" w:leader="dot" w:pos="9016"/>
            </w:tabs>
            <w:rPr>
              <w:rFonts w:eastAsiaTheme="minorEastAsia"/>
              <w:noProof/>
              <w:sz w:val="24"/>
              <w:szCs w:val="24"/>
              <w:lang w:eastAsia="en-GB"/>
            </w:rPr>
          </w:pPr>
          <w:r>
            <w:rPr>
              <w:noProof/>
            </w:rPr>
            <w:t>4.2. Create a collaborative and equitable research culture</w:t>
          </w:r>
          <w:r>
            <w:rPr>
              <w:noProof/>
            </w:rPr>
            <w:tab/>
          </w:r>
          <w:r>
            <w:rPr>
              <w:noProof/>
            </w:rPr>
            <w:fldChar w:fldCharType="begin"/>
          </w:r>
          <w:r>
            <w:rPr>
              <w:noProof/>
            </w:rPr>
            <w:instrText xml:space="preserve"> PAGEREF _Toc196735690 \h </w:instrText>
          </w:r>
          <w:r>
            <w:rPr>
              <w:noProof/>
            </w:rPr>
          </w:r>
          <w:r>
            <w:rPr>
              <w:noProof/>
            </w:rPr>
            <w:fldChar w:fldCharType="separate"/>
          </w:r>
          <w:r>
            <w:rPr>
              <w:noProof/>
            </w:rPr>
            <w:t>7</w:t>
          </w:r>
          <w:r>
            <w:rPr>
              <w:noProof/>
            </w:rPr>
            <w:fldChar w:fldCharType="end"/>
          </w:r>
        </w:p>
        <w:p w:rsidR="00DB7E27" w:rsidRDefault="00DB7E27" w14:paraId="1F63174A" w14:textId="221E7C63">
          <w:pPr>
            <w:pStyle w:val="TOC3"/>
            <w:tabs>
              <w:tab w:val="right" w:leader="dot" w:pos="9016"/>
            </w:tabs>
            <w:rPr>
              <w:rFonts w:eastAsiaTheme="minorEastAsia"/>
              <w:noProof/>
              <w:sz w:val="24"/>
              <w:szCs w:val="24"/>
              <w:lang w:eastAsia="en-GB"/>
            </w:rPr>
          </w:pPr>
          <w:r>
            <w:rPr>
              <w:noProof/>
            </w:rPr>
            <w:t>4.3. Provide an accessible and inclusive research environment</w:t>
          </w:r>
          <w:r>
            <w:rPr>
              <w:noProof/>
            </w:rPr>
            <w:tab/>
          </w:r>
          <w:r>
            <w:rPr>
              <w:noProof/>
            </w:rPr>
            <w:fldChar w:fldCharType="begin"/>
          </w:r>
          <w:r>
            <w:rPr>
              <w:noProof/>
            </w:rPr>
            <w:instrText xml:space="preserve"> PAGEREF _Toc196735691 \h </w:instrText>
          </w:r>
          <w:r>
            <w:rPr>
              <w:noProof/>
            </w:rPr>
          </w:r>
          <w:r>
            <w:rPr>
              <w:noProof/>
            </w:rPr>
            <w:fldChar w:fldCharType="separate"/>
          </w:r>
          <w:r>
            <w:rPr>
              <w:noProof/>
            </w:rPr>
            <w:t>8</w:t>
          </w:r>
          <w:r>
            <w:rPr>
              <w:noProof/>
            </w:rPr>
            <w:fldChar w:fldCharType="end"/>
          </w:r>
        </w:p>
        <w:p w:rsidR="006F2408" w:rsidRDefault="0017172E" w14:paraId="3550A7B9" w14:textId="37812D4D">
          <w:r>
            <w:fldChar w:fldCharType="end"/>
          </w:r>
        </w:p>
      </w:sdtContent>
    </w:sdt>
    <w:p w:rsidR="000954EF" w:rsidP="000954EF" w:rsidRDefault="000954EF" w14:paraId="17C288C6" w14:textId="77777777"/>
    <w:p w:rsidR="00EF36BB" w:rsidP="000954EF" w:rsidRDefault="00EF36BB" w14:paraId="35437A11" w14:textId="77777777"/>
    <w:p w:rsidR="00EF36BB" w:rsidP="000954EF" w:rsidRDefault="00EF36BB" w14:paraId="5F526018" w14:textId="77777777"/>
    <w:p w:rsidR="00EF36BB" w:rsidP="000954EF" w:rsidRDefault="00EF36BB" w14:paraId="6C20A08E" w14:textId="77777777"/>
    <w:p w:rsidR="00EF36BB" w:rsidP="000954EF" w:rsidRDefault="00EF36BB" w14:paraId="23A343BC" w14:textId="77777777"/>
    <w:p w:rsidR="00EF36BB" w:rsidP="000954EF" w:rsidRDefault="00EF36BB" w14:paraId="78E47482" w14:textId="77777777"/>
    <w:p w:rsidR="00EF36BB" w:rsidP="000954EF" w:rsidRDefault="00EF36BB" w14:paraId="79C800F0" w14:textId="77777777"/>
    <w:p w:rsidR="00EF36BB" w:rsidP="000954EF" w:rsidRDefault="00EF36BB" w14:paraId="6767259D" w14:textId="77777777"/>
    <w:p w:rsidR="00EF36BB" w:rsidP="000954EF" w:rsidRDefault="00EF36BB" w14:paraId="3D44D06F" w14:textId="77777777"/>
    <w:p w:rsidR="00EF36BB" w:rsidP="000954EF" w:rsidRDefault="00EF36BB" w14:paraId="6C5880D8" w14:textId="77777777"/>
    <w:p w:rsidR="00EF36BB" w:rsidP="000954EF" w:rsidRDefault="00EF36BB" w14:paraId="6B637733" w14:textId="77777777"/>
    <w:p w:rsidR="00EF36BB" w:rsidP="000954EF" w:rsidRDefault="00EF36BB" w14:paraId="57551866" w14:textId="77777777"/>
    <w:p w:rsidR="00EF36BB" w:rsidP="000954EF" w:rsidRDefault="00EF36BB" w14:paraId="25D64BFA" w14:textId="77777777"/>
    <w:p w:rsidRPr="000954EF" w:rsidR="00EF36BB" w:rsidP="000954EF" w:rsidRDefault="00EF36BB" w14:paraId="4502EB2E" w14:textId="77777777"/>
    <w:p w:rsidR="000947DC" w:rsidP="00DE568C" w:rsidRDefault="00DE568C" w14:paraId="4847F0A2" w14:textId="73702A15">
      <w:pPr>
        <w:pStyle w:val="Heading1"/>
      </w:pPr>
      <w:bookmarkStart w:name="_Toc196735681" w:id="2"/>
      <w:r w:rsidRPr="00DE568C">
        <w:lastRenderedPageBreak/>
        <w:t>1.</w:t>
      </w:r>
      <w:r>
        <w:t xml:space="preserve"> </w:t>
      </w:r>
      <w:r w:rsidR="000947DC">
        <w:t>Governance</w:t>
      </w:r>
      <w:bookmarkEnd w:id="2"/>
    </w:p>
    <w:p w:rsidRPr="004011CC" w:rsidR="004011CC" w:rsidP="004011CC" w:rsidRDefault="004011CC" w14:paraId="7DBD52A2" w14:textId="20204768">
      <w:r w:rsidRPr="004011CC">
        <w:t>The Executive Team will implement the</w:t>
      </w:r>
      <w:r w:rsidR="00F7466A">
        <w:t xml:space="preserve"> Equity, </w:t>
      </w:r>
      <w:r w:rsidR="004711A9">
        <w:t>Diversity, Inclusion</w:t>
      </w:r>
      <w:r w:rsidR="00F7466A">
        <w:t>, and Accessibility (EDIA)</w:t>
      </w:r>
      <w:r w:rsidR="004711A9">
        <w:t xml:space="preserve"> </w:t>
      </w:r>
      <w:r w:rsidRPr="004011CC">
        <w:t>strategy, integrating the following governance and operating principles: </w:t>
      </w:r>
    </w:p>
    <w:p w:rsidRPr="004011CC" w:rsidR="004011CC" w:rsidP="004011CC" w:rsidRDefault="004011CC" w14:paraId="63180F54" w14:textId="77777777">
      <w:pPr>
        <w:numPr>
          <w:ilvl w:val="0"/>
          <w:numId w:val="3"/>
        </w:numPr>
      </w:pPr>
      <w:r w:rsidRPr="004011CC">
        <w:t>ensuring diversity in all committees and groups </w:t>
      </w:r>
    </w:p>
    <w:p w:rsidRPr="004011CC" w:rsidR="004011CC" w:rsidP="004011CC" w:rsidRDefault="004011CC" w14:paraId="2D10FABC" w14:textId="77777777">
      <w:pPr>
        <w:numPr>
          <w:ilvl w:val="0"/>
          <w:numId w:val="4"/>
        </w:numPr>
      </w:pPr>
      <w:r w:rsidRPr="004011CC">
        <w:t>encouraging inclusive participation in all activities </w:t>
      </w:r>
    </w:p>
    <w:p w:rsidR="00C52A58" w:rsidP="00C52A58" w:rsidRDefault="004011CC" w14:paraId="0C56085D" w14:textId="7A7E7360">
      <w:pPr>
        <w:numPr>
          <w:ilvl w:val="0"/>
          <w:numId w:val="5"/>
        </w:numPr>
      </w:pPr>
      <w:r w:rsidRPr="004011CC">
        <w:t xml:space="preserve">communicating </w:t>
      </w:r>
      <w:r w:rsidR="00F73CC9">
        <w:t xml:space="preserve">clearly </w:t>
      </w:r>
      <w:r w:rsidRPr="004011CC">
        <w:t>our specific strategy for EDI</w:t>
      </w:r>
      <w:r w:rsidR="001746ED">
        <w:t>A</w:t>
      </w:r>
      <w:r w:rsidRPr="004011CC">
        <w:t> </w:t>
      </w:r>
    </w:p>
    <w:p w:rsidR="00C52A58" w:rsidP="00D5057E" w:rsidRDefault="00576110" w14:paraId="615CA841" w14:textId="50BCC166">
      <w:r>
        <w:t>This strategy was put together in consultation with the members of the Programme Management Group of the Centre for Addiction and Mental Health Research (CAMHR). It links to the University of Hull’s EDI Strategy and also draws on that of</w:t>
      </w:r>
      <w:r w:rsidR="001E5FEE">
        <w:t xml:space="preserve"> </w:t>
      </w:r>
      <w:r>
        <w:t xml:space="preserve">CAMHR’s collaborator and partner </w:t>
      </w:r>
      <w:r w:rsidR="001E5FEE">
        <w:t>U</w:t>
      </w:r>
      <w:r>
        <w:t>niversities</w:t>
      </w:r>
      <w:r w:rsidR="001E5FEE">
        <w:t xml:space="preserve"> and NHS Trusts</w:t>
      </w:r>
      <w:r>
        <w:t xml:space="preserve">. It also reflects the priorities of our funder as set out in the NIHR Research Inclusion Strategy 2022-27, the NIHR Disability Framework, </w:t>
      </w:r>
      <w:r w:rsidR="001E5FEE">
        <w:t>the MESSAGE (</w:t>
      </w:r>
      <w:r w:rsidRPr="001E5FEE" w:rsidR="001E5FEE">
        <w:t>Medical Science Sex and Gender Equity</w:t>
      </w:r>
      <w:r w:rsidR="001E5FEE">
        <w:t xml:space="preserve">) Project and the Guidance from the NIHR INCLUDE project for improving the inclusion of under-served groups in clinical research. </w:t>
      </w:r>
      <w:r w:rsidR="00B613B4">
        <w:t>Finally,</w:t>
      </w:r>
      <w:r w:rsidR="001E5FEE">
        <w:t xml:space="preserve"> it is informed by a rapid review undertaken of the current literature on best practice in equality, diversity, inclusivity and accessibility in </w:t>
      </w:r>
      <w:r w:rsidR="00610F45">
        <w:t xml:space="preserve">addiction and mental health </w:t>
      </w:r>
      <w:r w:rsidR="001E5FEE">
        <w:t>research</w:t>
      </w:r>
      <w:r w:rsidR="00610F45">
        <w:t xml:space="preserve">.  </w:t>
      </w:r>
      <w:r w:rsidR="00B613B4">
        <w:t xml:space="preserve">All </w:t>
      </w:r>
      <w:r w:rsidR="008762C7">
        <w:t xml:space="preserve">CAMHR team members have </w:t>
      </w:r>
      <w:r w:rsidR="00403865">
        <w:t>reviewed and approved</w:t>
      </w:r>
      <w:r w:rsidR="008762C7">
        <w:t xml:space="preserve"> this </w:t>
      </w:r>
      <w:r w:rsidR="00C175DF">
        <w:t>strategy.</w:t>
      </w:r>
    </w:p>
    <w:p w:rsidR="000947DC" w:rsidP="00DE568C" w:rsidRDefault="00DE568C" w14:paraId="08135DA6" w14:textId="2DCB0A73">
      <w:pPr>
        <w:pStyle w:val="Heading1"/>
      </w:pPr>
      <w:bookmarkStart w:name="_Toc196735682" w:id="3"/>
      <w:r>
        <w:t xml:space="preserve">2. </w:t>
      </w:r>
      <w:r w:rsidR="002210FE">
        <w:t xml:space="preserve">Our EDIA </w:t>
      </w:r>
      <w:r w:rsidR="000947DC">
        <w:t>Vision</w:t>
      </w:r>
      <w:bookmarkEnd w:id="3"/>
    </w:p>
    <w:p w:rsidR="009C05D2" w:rsidP="000947DC" w:rsidRDefault="009C05D2" w14:paraId="64864DD5" w14:textId="762FA5C5">
      <w:r>
        <w:t xml:space="preserve">At the Centre for Addiction and Mental Health Research (CAMHR), the NIHR Mental Health Research Group at the University of Hull, we are </w:t>
      </w:r>
      <w:r w:rsidR="00AD74E1">
        <w:t xml:space="preserve">embedding the principles of </w:t>
      </w:r>
      <w:r w:rsidR="001746ED">
        <w:t xml:space="preserve">EDIA </w:t>
      </w:r>
      <w:r w:rsidR="00AD74E1">
        <w:t>into our</w:t>
      </w:r>
      <w:r w:rsidR="00E60080">
        <w:t xml:space="preserve"> mission of</w:t>
      </w:r>
      <w:r w:rsidR="00AD74E1">
        <w:t xml:space="preserve"> </w:t>
      </w:r>
      <w:r>
        <w:t>examin</w:t>
      </w:r>
      <w:r w:rsidR="00E60080">
        <w:t>ing</w:t>
      </w:r>
      <w:r w:rsidR="00AD74E1">
        <w:t xml:space="preserve"> </w:t>
      </w:r>
      <w:r w:rsidR="008B28A2">
        <w:t>and addressing</w:t>
      </w:r>
      <w:r w:rsidR="00E60080">
        <w:t xml:space="preserve"> </w:t>
      </w:r>
      <w:r w:rsidR="00AD74E1">
        <w:t>the</w:t>
      </w:r>
      <w:r>
        <w:t xml:space="preserve"> care gaps in addiction and mental health care across the Yorkshire and Humber region. We aim to </w:t>
      </w:r>
      <w:r w:rsidR="00D33EF6">
        <w:t>narrow these</w:t>
      </w:r>
      <w:r>
        <w:t xml:space="preserve"> </w:t>
      </w:r>
      <w:r w:rsidR="00D33EF6">
        <w:t>gaps</w:t>
      </w:r>
      <w:r>
        <w:t xml:space="preserve"> by promoting a holistic, person-centred approach to understanding and supporting people with unmet needs relating to addictions and mental health.</w:t>
      </w:r>
    </w:p>
    <w:p w:rsidR="000947DC" w:rsidP="000947DC" w:rsidRDefault="000947DC" w14:paraId="47641853" w14:textId="684A0B1C">
      <w:r>
        <w:t xml:space="preserve">CAMHR proposes an </w:t>
      </w:r>
      <w:r w:rsidR="000929BB">
        <w:t>Equity</w:t>
      </w:r>
      <w:r>
        <w:t xml:space="preserve">, Diversity, Inclusion and Accessibility (EDIA) strategy. We believe that accessibility </w:t>
      </w:r>
      <w:r w:rsidR="00CF508D">
        <w:t>is</w:t>
      </w:r>
      <w:r>
        <w:t xml:space="preserve"> not given sufficient attention </w:t>
      </w:r>
      <w:r w:rsidR="008E732E">
        <w:t xml:space="preserve">in many strategies </w:t>
      </w:r>
      <w:r>
        <w:t>and</w:t>
      </w:r>
      <w:r w:rsidR="008E732E">
        <w:t xml:space="preserve"> therefore</w:t>
      </w:r>
      <w:r>
        <w:t xml:space="preserve"> warrants highlighting as a specific core component in the title of our </w:t>
      </w:r>
      <w:r w:rsidR="005C6047">
        <w:t>S</w:t>
      </w:r>
      <w:r>
        <w:t>trategy (rather than being subsumed within the three other elements).</w:t>
      </w:r>
    </w:p>
    <w:p w:rsidR="000771A9" w:rsidP="000947DC" w:rsidRDefault="0096450F" w14:paraId="0732B102" w14:textId="1DCEAA2A">
      <w:r>
        <w:t>O</w:t>
      </w:r>
      <w:r w:rsidR="00EE5C70">
        <w:t>ur Strategy</w:t>
      </w:r>
      <w:r w:rsidR="00F51018">
        <w:t xml:space="preserve"> </w:t>
      </w:r>
      <w:r w:rsidR="00246F59">
        <w:t xml:space="preserve">is rooted in a fair and equal consideration of each person’s needs </w:t>
      </w:r>
      <w:r w:rsidR="00E02FD6">
        <w:t>viewed</w:t>
      </w:r>
      <w:r w:rsidR="008F24A4">
        <w:t xml:space="preserve"> through the lens</w:t>
      </w:r>
      <w:r>
        <w:t xml:space="preserve"> of i</w:t>
      </w:r>
      <w:r w:rsidR="000771A9">
        <w:t>ntersectionality</w:t>
      </w:r>
      <w:r w:rsidR="00400B84">
        <w:t xml:space="preserve"> </w:t>
      </w:r>
      <w:r>
        <w:t xml:space="preserve">– that is </w:t>
      </w:r>
      <w:r w:rsidRPr="00400B84" w:rsidR="00400B84">
        <w:t xml:space="preserve">understanding </w:t>
      </w:r>
      <w:r w:rsidR="000319AC">
        <w:t xml:space="preserve">how </w:t>
      </w:r>
      <w:r w:rsidR="002404AA">
        <w:t xml:space="preserve">the </w:t>
      </w:r>
      <w:r w:rsidR="000319AC">
        <w:t xml:space="preserve">unique qualities, personal characteristics, experiences, and environments of each individual </w:t>
      </w:r>
      <w:r w:rsidR="00400B84">
        <w:t>can</w:t>
      </w:r>
      <w:r w:rsidRPr="00400B84" w:rsidR="00400B84">
        <w:t xml:space="preserve"> result in </w:t>
      </w:r>
      <w:r w:rsidR="002404AA">
        <w:t>particular</w:t>
      </w:r>
      <w:r w:rsidRPr="00400B84" w:rsidR="00400B84">
        <w:t xml:space="preserve"> combinations of </w:t>
      </w:r>
      <w:r w:rsidR="00400B84">
        <w:t>inequality and disadvantage</w:t>
      </w:r>
      <w:r w:rsidR="00D16229">
        <w:t>.</w:t>
      </w:r>
      <w:r w:rsidR="0063308D">
        <w:t xml:space="preserve"> </w:t>
      </w:r>
      <w:r w:rsidR="00D16229">
        <w:t>M</w:t>
      </w:r>
      <w:r w:rsidR="0063308D">
        <w:t>ore specifically in the context of CAMHR,</w:t>
      </w:r>
      <w:r w:rsidR="00D16229">
        <w:t xml:space="preserve"> this translate</w:t>
      </w:r>
      <w:r w:rsidR="00E02FD6">
        <w:t>s</w:t>
      </w:r>
      <w:r w:rsidR="00D16229">
        <w:t xml:space="preserve"> into </w:t>
      </w:r>
      <w:r w:rsidR="00E02FD6">
        <w:t xml:space="preserve">researching </w:t>
      </w:r>
      <w:r w:rsidR="00D16229">
        <w:t>how this individual combination of factors</w:t>
      </w:r>
      <w:r w:rsidR="0063308D">
        <w:t xml:space="preserve"> </w:t>
      </w:r>
      <w:r w:rsidRPr="0063308D" w:rsidR="0063308D">
        <w:t>impact</w:t>
      </w:r>
      <w:r w:rsidR="00D16229">
        <w:t>s</w:t>
      </w:r>
      <w:r w:rsidRPr="0063308D" w:rsidR="0063308D">
        <w:t xml:space="preserve"> t</w:t>
      </w:r>
      <w:r w:rsidR="00D16229">
        <w:t>he person’s</w:t>
      </w:r>
      <w:r w:rsidR="00CD2F49">
        <w:t xml:space="preserve"> exposure to risk</w:t>
      </w:r>
      <w:r w:rsidR="00EB3A52">
        <w:t xml:space="preserve"> and harm,</w:t>
      </w:r>
      <w:r w:rsidR="00CD2F49">
        <w:t xml:space="preserve"> and their</w:t>
      </w:r>
      <w:r w:rsidRPr="0063308D" w:rsidR="0063308D">
        <w:t xml:space="preserve"> ability to seek and receive suitable support for addiction and mental health problems</w:t>
      </w:r>
      <w:r w:rsidR="0063308D">
        <w:t xml:space="preserve">. </w:t>
      </w:r>
    </w:p>
    <w:p w:rsidR="00701AD2" w:rsidP="000947DC" w:rsidRDefault="00231FC4" w14:paraId="51509E29" w14:textId="411F41E8">
      <w:r>
        <w:t>Our</w:t>
      </w:r>
      <w:r w:rsidR="00043FF8">
        <w:t xml:space="preserve"> vision and goals</w:t>
      </w:r>
      <w:r>
        <w:t xml:space="preserve"> will be embedded</w:t>
      </w:r>
      <w:r w:rsidR="00043FF8">
        <w:t xml:space="preserve"> via SMART </w:t>
      </w:r>
      <w:r w:rsidR="00D475C1">
        <w:t>objectives</w:t>
      </w:r>
      <w:r w:rsidR="00EA5574">
        <w:t xml:space="preserve"> (detailed in section 3), progress on which will be</w:t>
      </w:r>
      <w:r w:rsidR="003B387D">
        <w:t xml:space="preserve"> </w:t>
      </w:r>
      <w:r w:rsidR="008C78F2">
        <w:t>regularly review</w:t>
      </w:r>
      <w:r w:rsidR="003B387D">
        <w:t>ed</w:t>
      </w:r>
      <w:r w:rsidR="008C78F2">
        <w:t>.</w:t>
      </w:r>
      <w:r w:rsidR="00AE5C55">
        <w:t xml:space="preserve"> </w:t>
      </w:r>
      <w:r w:rsidR="006F4A6C">
        <w:t>While</w:t>
      </w:r>
      <w:r w:rsidR="00304744">
        <w:t xml:space="preserve"> built on a </w:t>
      </w:r>
      <w:r w:rsidR="00987113">
        <w:t>solid ethical framework</w:t>
      </w:r>
      <w:r w:rsidR="006F4A6C">
        <w:t xml:space="preserve">, our strategy </w:t>
      </w:r>
      <w:r w:rsidR="00EA5574">
        <w:t xml:space="preserve">is </w:t>
      </w:r>
      <w:r w:rsidR="00987113">
        <w:t>flexib</w:t>
      </w:r>
      <w:r w:rsidR="00E0452E">
        <w:t>le enough</w:t>
      </w:r>
      <w:r w:rsidR="00987113">
        <w:t xml:space="preserve"> to </w:t>
      </w:r>
      <w:r w:rsidR="00EA5574">
        <w:t xml:space="preserve">be </w:t>
      </w:r>
      <w:r w:rsidR="00FC3C1C">
        <w:t>respon</w:t>
      </w:r>
      <w:r w:rsidR="00EA5574">
        <w:t>sive</w:t>
      </w:r>
      <w:r w:rsidR="00987113">
        <w:t xml:space="preserve"> to changing external circumstances</w:t>
      </w:r>
      <w:r w:rsidR="00217741">
        <w:t xml:space="preserve"> and </w:t>
      </w:r>
      <w:r w:rsidR="00D475C1">
        <w:t>evolving</w:t>
      </w:r>
      <w:r w:rsidR="00D91942">
        <w:t xml:space="preserve"> conversations with stakeholders.</w:t>
      </w:r>
    </w:p>
    <w:p w:rsidR="002210FE" w:rsidP="00AD74E1" w:rsidRDefault="00BA4550" w14:paraId="58F3AF0A" w14:textId="0AB99AC5">
      <w:r>
        <w:t xml:space="preserve">Our EDIA strategy is central to our </w:t>
      </w:r>
      <w:r w:rsidR="00AD74E1">
        <w:t xml:space="preserve">vision of </w:t>
      </w:r>
      <w:r w:rsidR="00D71AD7">
        <w:t>developing and actioning</w:t>
      </w:r>
      <w:r w:rsidR="00EA01DF">
        <w:t xml:space="preserve"> </w:t>
      </w:r>
      <w:r w:rsidR="00AD74E1">
        <w:t>progressive, innovative, and collaborative research</w:t>
      </w:r>
      <w:r w:rsidR="005A5ACB">
        <w:t>.</w:t>
      </w:r>
      <w:r w:rsidR="00AD74E1">
        <w:t xml:space="preserve"> </w:t>
      </w:r>
      <w:r w:rsidR="00AE4AB6">
        <w:t>We will</w:t>
      </w:r>
      <w:r w:rsidR="00AD74E1">
        <w:t xml:space="preserve"> promot</w:t>
      </w:r>
      <w:r w:rsidR="00AE4AB6">
        <w:t>e</w:t>
      </w:r>
      <w:r w:rsidR="00AD74E1">
        <w:t xml:space="preserve"> an inclusive research culture</w:t>
      </w:r>
      <w:r w:rsidR="00DE3F70">
        <w:t xml:space="preserve"> and</w:t>
      </w:r>
      <w:r w:rsidR="00AD74E1">
        <w:t xml:space="preserve"> invest in the </w:t>
      </w:r>
      <w:r w:rsidR="00AD74E1">
        <w:lastRenderedPageBreak/>
        <w:t>development of early- and mid-career researchers</w:t>
      </w:r>
      <w:r w:rsidR="00DE3F70">
        <w:t>. We will</w:t>
      </w:r>
      <w:r w:rsidR="00AD74E1">
        <w:t xml:space="preserve"> embrac</w:t>
      </w:r>
      <w:r w:rsidR="00D57292">
        <w:t>e</w:t>
      </w:r>
      <w:r w:rsidR="00AD74E1">
        <w:t xml:space="preserve"> diversity of people, thought, knowledge, and practice</w:t>
      </w:r>
      <w:r w:rsidR="00D57292">
        <w:t xml:space="preserve"> in order to </w:t>
      </w:r>
      <w:r w:rsidR="00DE3F70">
        <w:t>maximise</w:t>
      </w:r>
      <w:r w:rsidR="00D57292">
        <w:t xml:space="preserve"> our understanding of mental health and addiction challenges </w:t>
      </w:r>
      <w:r w:rsidR="002D634F">
        <w:t xml:space="preserve">enabling us to </w:t>
      </w:r>
      <w:r w:rsidR="00D57292">
        <w:t xml:space="preserve">devise </w:t>
      </w:r>
      <w:r w:rsidR="00D10D9B">
        <w:t xml:space="preserve">optimal </w:t>
      </w:r>
      <w:r w:rsidR="00D57292">
        <w:t>solutions</w:t>
      </w:r>
      <w:r w:rsidR="001A4D04">
        <w:t xml:space="preserve"> to these challenges</w:t>
      </w:r>
      <w:r w:rsidR="005600A6">
        <w:t xml:space="preserve"> </w:t>
      </w:r>
      <w:r w:rsidR="00D10D9B">
        <w:t>in terms of</w:t>
      </w:r>
      <w:r w:rsidR="00B62752">
        <w:t xml:space="preserve"> </w:t>
      </w:r>
      <w:r w:rsidR="005600A6">
        <w:t>acceptab</w:t>
      </w:r>
      <w:r w:rsidR="00D10D9B">
        <w:t>ility</w:t>
      </w:r>
      <w:r w:rsidR="005600A6">
        <w:t xml:space="preserve">, </w:t>
      </w:r>
      <w:r w:rsidR="00B62752">
        <w:t xml:space="preserve">clinical </w:t>
      </w:r>
      <w:r w:rsidR="005600A6">
        <w:t>effective</w:t>
      </w:r>
      <w:r w:rsidR="00D10D9B">
        <w:t>ness,</w:t>
      </w:r>
      <w:r w:rsidR="005600A6">
        <w:t xml:space="preserve"> cost-effective</w:t>
      </w:r>
      <w:r w:rsidR="00BD63E4">
        <w:t>ness,</w:t>
      </w:r>
      <w:r w:rsidR="00D10D9B">
        <w:t xml:space="preserve"> and </w:t>
      </w:r>
      <w:r w:rsidR="00E43BC2">
        <w:t>bringing</w:t>
      </w:r>
      <w:r w:rsidR="005365F7">
        <w:t xml:space="preserve"> </w:t>
      </w:r>
      <w:r w:rsidR="00D10D9B">
        <w:t>wider benefits to socie</w:t>
      </w:r>
      <w:r w:rsidR="00E43BC2">
        <w:t xml:space="preserve">ty. </w:t>
      </w:r>
    </w:p>
    <w:p w:rsidR="002210FE" w:rsidP="00AD74E1" w:rsidRDefault="002210FE" w14:paraId="52901BFB" w14:textId="77777777"/>
    <w:p w:rsidR="002210FE" w:rsidP="00096163" w:rsidRDefault="006D62DE" w14:paraId="468755DE" w14:textId="7DE71054">
      <w:pPr>
        <w:pStyle w:val="Heading2"/>
      </w:pPr>
      <w:bookmarkStart w:name="_Toc196735683" w:id="4"/>
      <w:r>
        <w:t>2.1.</w:t>
      </w:r>
      <w:r w:rsidR="00DE568C">
        <w:t xml:space="preserve"> </w:t>
      </w:r>
      <w:r w:rsidR="002210FE">
        <w:t>Reducing inequities in addiction and mental health research</w:t>
      </w:r>
      <w:bookmarkEnd w:id="4"/>
    </w:p>
    <w:p w:rsidR="002210FE" w:rsidP="002210FE" w:rsidRDefault="002210FE" w14:paraId="50F5EF9A" w14:textId="77777777">
      <w:r w:rsidRPr="000771A9">
        <w:t>CAMHR serve</w:t>
      </w:r>
      <w:r>
        <w:t>s</w:t>
      </w:r>
      <w:r w:rsidRPr="000771A9">
        <w:t xml:space="preserve"> the geographic area encompassed by the Humber and North Yorkshire Integrated Care Board which covers 6 local authorities and serves a diverse population of 1.7 million across cities, market towns, rural villages, and coastal communities. This includes some of the most deprived wards in the UK and underserved groups with limited access to effective mental health treatment and limited engagement with applied mental health research.</w:t>
      </w:r>
      <w:r>
        <w:t xml:space="preserve"> </w:t>
      </w:r>
    </w:p>
    <w:p w:rsidR="002210FE" w:rsidP="002210FE" w:rsidRDefault="002210FE" w14:paraId="05F5CB81" w14:textId="77777777">
      <w:r w:rsidRPr="004011CC">
        <w:t>Th</w:t>
      </w:r>
      <w:r>
        <w:t>e most deprived wards</w:t>
      </w:r>
      <w:r w:rsidRPr="004011CC">
        <w:t xml:space="preserve"> experienc</w:t>
      </w:r>
      <w:r>
        <w:t>e</w:t>
      </w:r>
      <w:r w:rsidRPr="004011CC">
        <w:t xml:space="preserve"> </w:t>
      </w:r>
      <w:r>
        <w:t xml:space="preserve">the </w:t>
      </w:r>
      <w:r w:rsidRPr="004011CC">
        <w:t>high</w:t>
      </w:r>
      <w:r>
        <w:t>est</w:t>
      </w:r>
      <w:r w:rsidRPr="004011CC">
        <w:t xml:space="preserve"> levels of need and service use for drug, alcohol and mental health conditions. </w:t>
      </w:r>
      <w:r>
        <w:t>Even in the</w:t>
      </w:r>
      <w:r w:rsidRPr="004011CC">
        <w:t xml:space="preserve"> least deprived areas</w:t>
      </w:r>
      <w:r>
        <w:t xml:space="preserve"> there are relatively</w:t>
      </w:r>
      <w:r w:rsidRPr="004011CC">
        <w:t xml:space="preserve"> high rates for suicide, high levels of mental health service contacts</w:t>
      </w:r>
      <w:r>
        <w:t xml:space="preserve"> and</w:t>
      </w:r>
      <w:r w:rsidRPr="004011CC">
        <w:t xml:space="preserve"> under 18 alcohol admissions and a </w:t>
      </w:r>
      <w:r>
        <w:t xml:space="preserve">general </w:t>
      </w:r>
      <w:r w:rsidRPr="004011CC">
        <w:t>lack of treatment of mental health problems in alcohol services. </w:t>
      </w:r>
      <w:r>
        <w:t>CAMHR will involve local communities in both co-designing innovative ways to improve the accessibility of services and in exploring how it might be possible to reduce vulnerability to addiction and mental health challenges.</w:t>
      </w:r>
    </w:p>
    <w:p w:rsidR="002210FE" w:rsidP="002210FE" w:rsidRDefault="002210FE" w14:paraId="418CBE33" w14:textId="77777777">
      <w:r>
        <w:t>Amongst the most disadvantaged and underserved groups are</w:t>
      </w:r>
      <w:r w:rsidRPr="00CC098A">
        <w:t xml:space="preserve"> those from homeless communities</w:t>
      </w:r>
      <w:r>
        <w:t xml:space="preserve">, LGBTQ+ groups, </w:t>
      </w:r>
      <w:r w:rsidRPr="00CC098A">
        <w:t>minority ethnic and cultural groups</w:t>
      </w:r>
      <w:r>
        <w:t xml:space="preserve"> (including Gypsy, Roma, and Traveller communities), people with disabilities, people experiencing socioeconomic deprivation, and rural and</w:t>
      </w:r>
      <w:r w:rsidRPr="00CC098A">
        <w:t xml:space="preserve"> coastal communities</w:t>
      </w:r>
      <w:r>
        <w:t>. Historically, these groups have been excluded from research and have poorer access to healthcare; often facing multiple barriers when seeking support for mental health or substance use problems. These can include stigma and discrimination, physical challenges travelling to healthcare, social isolation, and lack of local supportive health and social care networks. We will e</w:t>
      </w:r>
      <w:r w:rsidRPr="00CC098A">
        <w:t xml:space="preserve">nsure that </w:t>
      </w:r>
      <w:r>
        <w:t xml:space="preserve">all </w:t>
      </w:r>
      <w:r w:rsidRPr="00CC098A">
        <w:t>t</w:t>
      </w:r>
      <w:r>
        <w:t>hese</w:t>
      </w:r>
      <w:r w:rsidRPr="00CC098A">
        <w:t xml:space="preserve"> groups</w:t>
      </w:r>
      <w:r>
        <w:t xml:space="preserve"> </w:t>
      </w:r>
      <w:r w:rsidRPr="00CC098A">
        <w:t>are</w:t>
      </w:r>
      <w:r>
        <w:t xml:space="preserve"> </w:t>
      </w:r>
      <w:r w:rsidRPr="00CC098A">
        <w:t>actively engaged</w:t>
      </w:r>
      <w:r>
        <w:t>,</w:t>
      </w:r>
      <w:r w:rsidRPr="00CC098A">
        <w:t xml:space="preserve"> </w:t>
      </w:r>
      <w:r>
        <w:t>including</w:t>
      </w:r>
      <w:r w:rsidRPr="00CC098A">
        <w:t xml:space="preserve"> in stakeholder </w:t>
      </w:r>
      <w:r>
        <w:t xml:space="preserve">and PPIE </w:t>
      </w:r>
      <w:r w:rsidRPr="00CC098A">
        <w:t>groups</w:t>
      </w:r>
      <w:r>
        <w:t>. This will then allow us to better understand how and why they experience greater risk and lower protective factors in relation to addiction and mental health plus higher barriers to entry into care pathways and, on average, less successful outcomes and higher rates of relapse. This in turn will enable us to collaborate closely with affected populations and work together to co-develop new ways of redressing all these disadvantages</w:t>
      </w:r>
      <w:r w:rsidRPr="00CC098A">
        <w:t>.</w:t>
      </w:r>
    </w:p>
    <w:p w:rsidR="002210FE" w:rsidP="002210FE" w:rsidRDefault="002210FE" w14:paraId="4F69760E" w14:textId="77777777">
      <w:r>
        <w:t>We will work to ensure that EDIA is rooted in each stage of the research lifecycle from inclusion of a representative group of stakeholders and beneficiaries in co-designing the approach to disseminating the outcomes, including through engaging with commissioners, service providers and (local and national) policy makers.</w:t>
      </w:r>
    </w:p>
    <w:p w:rsidR="002210FE" w:rsidP="002210FE" w:rsidRDefault="002210FE" w14:paraId="1BE2D486" w14:textId="77777777">
      <w:r>
        <w:t xml:space="preserve">Steps to achieve the meaningful inclusion of the groups we have identified in our research include: </w:t>
      </w:r>
    </w:p>
    <w:p w:rsidR="002210FE" w:rsidP="002210FE" w:rsidRDefault="002210FE" w14:paraId="67FFDF8F" w14:textId="77777777">
      <w:pPr>
        <w:pStyle w:val="ListParagraph"/>
        <w:numPr>
          <w:ilvl w:val="0"/>
          <w:numId w:val="18"/>
        </w:numPr>
      </w:pPr>
      <w:r>
        <w:t>distribution and promotion of EDIA toolkits to members of CAMHR and its affiliates plus the wider University of Hull research community</w:t>
      </w:r>
    </w:p>
    <w:p w:rsidR="002210FE" w:rsidP="002210FE" w:rsidRDefault="002210FE" w14:paraId="5E306AB5" w14:textId="77777777">
      <w:pPr>
        <w:pStyle w:val="ListParagraph"/>
        <w:numPr>
          <w:ilvl w:val="0"/>
          <w:numId w:val="18"/>
        </w:numPr>
      </w:pPr>
      <w:r>
        <w:t>training workshops for CAMHR members and affiliates and offering one-to-one expert advice</w:t>
      </w:r>
    </w:p>
    <w:p w:rsidR="002210FE" w:rsidP="002210FE" w:rsidRDefault="002210FE" w14:paraId="027A81F7" w14:textId="77777777">
      <w:pPr>
        <w:pStyle w:val="ListParagraph"/>
        <w:numPr>
          <w:ilvl w:val="0"/>
          <w:numId w:val="18"/>
        </w:numPr>
      </w:pPr>
      <w:r>
        <w:lastRenderedPageBreak/>
        <w:t>close working with PPIE colleagues, such as INVOLVE Hull, to ensure integration into their goals and activities</w:t>
      </w:r>
    </w:p>
    <w:p w:rsidR="002210FE" w:rsidP="002210FE" w:rsidRDefault="002210FE" w14:paraId="30D89CE6" w14:textId="77777777">
      <w:pPr>
        <w:pStyle w:val="ListParagraph"/>
        <w:numPr>
          <w:ilvl w:val="0"/>
          <w:numId w:val="18"/>
        </w:numPr>
      </w:pPr>
      <w:r>
        <w:t>close w</w:t>
      </w:r>
      <w:r w:rsidRPr="004011CC">
        <w:t>ork</w:t>
      </w:r>
      <w:r>
        <w:t>ing</w:t>
      </w:r>
      <w:r w:rsidRPr="004011CC">
        <w:t xml:space="preserve"> with the NIHR Y&amp;H </w:t>
      </w:r>
      <w:r>
        <w:t>RDN</w:t>
      </w:r>
      <w:r w:rsidRPr="004011CC">
        <w:t xml:space="preserve"> PPIE Team</w:t>
      </w:r>
      <w:r>
        <w:t xml:space="preserve"> and</w:t>
      </w:r>
      <w:r w:rsidRPr="004011CC">
        <w:t xml:space="preserve"> Ethnic Minority Research Inclusion </w:t>
      </w:r>
      <w:r>
        <w:t xml:space="preserve">(EMRI) </w:t>
      </w:r>
      <w:r w:rsidRPr="004011CC">
        <w:t>Hub</w:t>
      </w:r>
    </w:p>
    <w:p w:rsidR="002210FE" w:rsidP="002210FE" w:rsidRDefault="002210FE" w14:paraId="0107F7EE" w14:textId="77777777">
      <w:pPr>
        <w:pStyle w:val="ListParagraph"/>
        <w:numPr>
          <w:ilvl w:val="0"/>
          <w:numId w:val="18"/>
        </w:numPr>
      </w:pPr>
      <w:r>
        <w:t>building relationships with locally under-represented communities (through their representatives, community organisations etc.)  to better understand the needs of these communities and engage them in shaping, carrying out and disseminating the research</w:t>
      </w:r>
    </w:p>
    <w:p w:rsidR="002210FE" w:rsidP="002210FE" w:rsidRDefault="002210FE" w14:paraId="29BF1DCF" w14:textId="77777777">
      <w:pPr>
        <w:pStyle w:val="ListParagraph"/>
        <w:numPr>
          <w:ilvl w:val="0"/>
          <w:numId w:val="18"/>
        </w:numPr>
      </w:pPr>
      <w:r>
        <w:t>keep up to date with best practice in EDIA through participation in local and national events/conferences etc.</w:t>
      </w:r>
    </w:p>
    <w:p w:rsidR="002210FE" w:rsidP="002210FE" w:rsidRDefault="002210FE" w14:paraId="23E75875" w14:textId="77777777">
      <w:r>
        <w:t>There are additional specific considerations for two of our three themes/populations:</w:t>
      </w:r>
    </w:p>
    <w:p w:rsidR="002F5202" w:rsidP="002F5202" w:rsidRDefault="002210FE" w14:paraId="4CD2A081" w14:textId="77777777">
      <w:r>
        <w:t xml:space="preserve">Theme 1: Facilitating meaningful inclusion of young people with a range of needs relating to mental health, substance use and addiction, with consideration to neurodiversity, neurodevelopmental conditions and specific learning difficulties. Theme 1 will be offering internships in co-production of research to young people, drawing on the </w:t>
      </w:r>
      <w:hyperlink w:history="1" r:id="rId21">
        <w:proofErr w:type="spellStart"/>
        <w:r w:rsidRPr="00E251E6">
          <w:rPr>
            <w:rStyle w:val="Hyperlink"/>
          </w:rPr>
          <w:t>Barnado’s</w:t>
        </w:r>
        <w:proofErr w:type="spellEnd"/>
        <w:r w:rsidRPr="00E251E6">
          <w:rPr>
            <w:rStyle w:val="Hyperlink"/>
          </w:rPr>
          <w:t xml:space="preserve"> Young Researcher’s Guidance and Toolkit</w:t>
        </w:r>
      </w:hyperlink>
      <w:r>
        <w:t xml:space="preserve">. </w:t>
      </w:r>
    </w:p>
    <w:p w:rsidRPr="002F5202" w:rsidR="00D53AD4" w:rsidP="002F5202" w:rsidRDefault="002210FE" w14:paraId="695F1145" w14:textId="0C87B25F">
      <w:r w:rsidRPr="00667C74">
        <w:rPr>
          <w:color w:val="000000" w:themeColor="text1"/>
        </w:rPr>
        <w:t xml:space="preserve">Theme 3: Facilitating meaningful inclusion of individuals with cognitive impairment. Theme members have extensive expertise working with people with cognitive impairment and have undertaken additional training in the </w:t>
      </w:r>
      <w:r w:rsidRPr="00667C74" w:rsidR="003A38A2">
        <w:rPr>
          <w:color w:val="000000" w:themeColor="text1"/>
        </w:rPr>
        <w:t>inclusion</w:t>
      </w:r>
      <w:r w:rsidRPr="00667C74">
        <w:rPr>
          <w:color w:val="000000" w:themeColor="text1"/>
        </w:rPr>
        <w:t xml:space="preserve"> of adults with cognitive impairments in research.</w:t>
      </w:r>
    </w:p>
    <w:p w:rsidR="00AE1316" w:rsidP="00D53AD4" w:rsidRDefault="00AE1316" w14:paraId="16421906" w14:textId="77777777"/>
    <w:p w:rsidR="000771A9" w:rsidP="00D53AD4" w:rsidRDefault="00D53AD4" w14:paraId="05FD3254" w14:textId="5C41938B">
      <w:pPr>
        <w:pStyle w:val="Heading2"/>
      </w:pPr>
      <w:bookmarkStart w:name="_Toc196735684" w:id="5"/>
      <w:r>
        <w:t xml:space="preserve">3. </w:t>
      </w:r>
      <w:r w:rsidR="00836EDB">
        <w:t>Our Core EDIA Objectives</w:t>
      </w:r>
      <w:bookmarkEnd w:id="5"/>
    </w:p>
    <w:p w:rsidR="004011CC" w:rsidP="004011CC" w:rsidRDefault="004011CC" w14:paraId="39E4A4CC" w14:textId="19B2084C">
      <w:r w:rsidRPr="004011CC">
        <w:t>CAMHR’s vision</w:t>
      </w:r>
      <w:r w:rsidR="002D634F">
        <w:t>,</w:t>
      </w:r>
      <w:r w:rsidRPr="004011CC">
        <w:t xml:space="preserve"> reflect</w:t>
      </w:r>
      <w:r w:rsidR="00E43BC2">
        <w:t>ing</w:t>
      </w:r>
      <w:r w:rsidRPr="004011CC">
        <w:t xml:space="preserve"> that of the wider University of Hull</w:t>
      </w:r>
      <w:r w:rsidR="002D634F">
        <w:t xml:space="preserve">, </w:t>
      </w:r>
      <w:r w:rsidRPr="004011CC">
        <w:t>is to create a research environment in which researchers collaborate with, reflect on</w:t>
      </w:r>
      <w:r w:rsidR="00DD68CB">
        <w:t>,</w:t>
      </w:r>
      <w:r w:rsidRPr="004011CC">
        <w:t xml:space="preserve"> and respond to the needs of the diversity of people affected by </w:t>
      </w:r>
      <w:r w:rsidR="00C377F2">
        <w:t>addiction</w:t>
      </w:r>
      <w:r w:rsidRPr="004011CC">
        <w:t xml:space="preserve"> and mental health</w:t>
      </w:r>
      <w:r w:rsidR="00C377F2">
        <w:t xml:space="preserve"> problems</w:t>
      </w:r>
      <w:r w:rsidR="00C10824">
        <w:t>. Amplifying those</w:t>
      </w:r>
      <w:r w:rsidRPr="004011CC">
        <w:t xml:space="preserve"> whose voices need to be included in the design and development of applied mental health research. The CAMHR team is diverse, with members drawn from multiple disciplines, who reflect a range of protected and non-protected characteristics. </w:t>
      </w:r>
      <w:r w:rsidR="003B387D">
        <w:t xml:space="preserve">Our funder, </w:t>
      </w:r>
      <w:r w:rsidRPr="004011CC">
        <w:t>NIHR</w:t>
      </w:r>
      <w:r w:rsidR="003B387D">
        <w:t>,</w:t>
      </w:r>
      <w:r w:rsidRPr="004011CC">
        <w:t xml:space="preserve"> advocate</w:t>
      </w:r>
      <w:r w:rsidR="003B387D">
        <w:t>s</w:t>
      </w:r>
      <w:r w:rsidRPr="004011CC">
        <w:t xml:space="preserve"> for creating communities that reflect diverse backgrounds, perspectives, lived experiences and skills, and the CAMHR team share a commitment to promoting </w:t>
      </w:r>
      <w:r w:rsidR="000929BB">
        <w:t>equity</w:t>
      </w:r>
      <w:r w:rsidRPr="004011CC">
        <w:t>, embracing diversity, and fostering an inclusive applied research culture. </w:t>
      </w:r>
    </w:p>
    <w:p w:rsidRPr="004011CC" w:rsidR="00AE1316" w:rsidP="004011CC" w:rsidRDefault="00AE1316" w14:paraId="278987B5" w14:textId="77777777"/>
    <w:p w:rsidRPr="004011CC" w:rsidR="004011CC" w:rsidP="004011CC" w:rsidRDefault="004011CC" w14:paraId="09F8F8E0" w14:textId="12CFEE4E">
      <w:r w:rsidRPr="004011CC">
        <w:t>CAMHR’s three core EDI</w:t>
      </w:r>
      <w:r w:rsidR="0087112D">
        <w:t>A</w:t>
      </w:r>
      <w:r w:rsidRPr="004011CC">
        <w:t xml:space="preserve"> objectives will be to: </w:t>
      </w:r>
    </w:p>
    <w:p w:rsidRPr="004011CC" w:rsidR="004011CC" w:rsidP="004011CC" w:rsidRDefault="004011CC" w14:paraId="2F705A88" w14:textId="77777777">
      <w:pPr>
        <w:numPr>
          <w:ilvl w:val="0"/>
          <w:numId w:val="6"/>
        </w:numPr>
      </w:pPr>
      <w:r w:rsidRPr="004011CC">
        <w:t>Promote diversity in leadership and research teams </w:t>
      </w:r>
    </w:p>
    <w:p w:rsidRPr="004011CC" w:rsidR="004011CC" w:rsidP="004011CC" w:rsidRDefault="004011CC" w14:paraId="044DCCE1" w14:textId="47729816">
      <w:pPr>
        <w:numPr>
          <w:ilvl w:val="0"/>
          <w:numId w:val="7"/>
        </w:numPr>
      </w:pPr>
      <w:r w:rsidRPr="004011CC">
        <w:t xml:space="preserve">Create a collaborative and equitable </w:t>
      </w:r>
      <w:r w:rsidR="0087112D">
        <w:t xml:space="preserve">research </w:t>
      </w:r>
      <w:r w:rsidRPr="004011CC">
        <w:t>culture </w:t>
      </w:r>
    </w:p>
    <w:p w:rsidR="00813D0E" w:rsidP="00813D0E" w:rsidRDefault="004011CC" w14:paraId="07E5DC85" w14:textId="77777777">
      <w:pPr>
        <w:numPr>
          <w:ilvl w:val="0"/>
          <w:numId w:val="8"/>
        </w:numPr>
      </w:pPr>
      <w:r w:rsidRPr="004011CC">
        <w:t>Provide an inclusive and accessible research environment </w:t>
      </w:r>
    </w:p>
    <w:p w:rsidR="00AE1316" w:rsidP="00AE1316" w:rsidRDefault="00AE1316" w14:paraId="550212CE" w14:textId="77777777">
      <w:pPr>
        <w:ind w:left="360"/>
      </w:pPr>
    </w:p>
    <w:p w:rsidRPr="00631D42" w:rsidR="00AD7497" w:rsidP="00631D42" w:rsidRDefault="00813D0E" w14:paraId="44D0E8B5" w14:textId="75834AF2">
      <w:pPr>
        <w:pStyle w:val="Heading3"/>
      </w:pPr>
      <w:bookmarkStart w:name="_Toc196735685" w:id="6"/>
      <w:r w:rsidRPr="00631D42">
        <w:t xml:space="preserve">3.1. </w:t>
      </w:r>
      <w:r w:rsidRPr="00631D42" w:rsidR="00AD7497">
        <w:t>Promot</w:t>
      </w:r>
      <w:r w:rsidRPr="00631D42" w:rsidR="002753EC">
        <w:t>e</w:t>
      </w:r>
      <w:r w:rsidRPr="00631D42" w:rsidR="00AD7497">
        <w:t xml:space="preserve"> diversity in leadership and research teams</w:t>
      </w:r>
      <w:bookmarkEnd w:id="6"/>
    </w:p>
    <w:p w:rsidR="00AD7497" w:rsidP="00AD7497" w:rsidRDefault="00AD7497" w14:paraId="4437C705" w14:textId="77777777">
      <w:pPr>
        <w:pStyle w:val="ListParagraph"/>
        <w:numPr>
          <w:ilvl w:val="0"/>
          <w:numId w:val="14"/>
        </w:numPr>
      </w:pPr>
      <w:r>
        <w:t xml:space="preserve">Supporting Early and Mid-career researchers (ECRs and MCRs) to build their research profile and develop leadership skills </w:t>
      </w:r>
    </w:p>
    <w:p w:rsidR="00AD7497" w:rsidP="00AD7497" w:rsidRDefault="00AD7497" w14:paraId="2ADAD6A5" w14:textId="77777777">
      <w:pPr>
        <w:pStyle w:val="ListParagraph"/>
        <w:numPr>
          <w:ilvl w:val="0"/>
          <w:numId w:val="14"/>
        </w:numPr>
      </w:pPr>
      <w:r>
        <w:t xml:space="preserve">Supporting ECRs to be lead author where they meet the ICJME guidelines for authorship, as per the CAMHR publication policy. </w:t>
      </w:r>
    </w:p>
    <w:p w:rsidR="00AD7497" w:rsidP="00AD7497" w:rsidRDefault="00AD7497" w14:paraId="28694AE4" w14:textId="5AE94B4E">
      <w:pPr>
        <w:pStyle w:val="ListParagraph"/>
        <w:numPr>
          <w:ilvl w:val="0"/>
          <w:numId w:val="14"/>
        </w:numPr>
      </w:pPr>
      <w:r>
        <w:lastRenderedPageBreak/>
        <w:t>Hiring policies and procedures which incorporate reasonable accommodations</w:t>
      </w:r>
      <w:r w:rsidR="00552B70">
        <w:t xml:space="preserve"> in line with the University of Hull</w:t>
      </w:r>
      <w:r w:rsidR="00F10C01">
        <w:t xml:space="preserve"> recruitment and hiring policies</w:t>
      </w:r>
    </w:p>
    <w:p w:rsidR="00AD7497" w:rsidP="00AD7497" w:rsidRDefault="00AD7497" w14:paraId="008B41DB" w14:textId="77777777">
      <w:pPr>
        <w:pStyle w:val="ListParagraph"/>
        <w:numPr>
          <w:ilvl w:val="0"/>
          <w:numId w:val="14"/>
        </w:numPr>
      </w:pPr>
      <w:r>
        <w:t>Funding for training and professional development available to all CAMHR team</w:t>
      </w:r>
    </w:p>
    <w:p w:rsidR="00AD7497" w:rsidP="00AD7497" w:rsidRDefault="00AD7497" w14:paraId="796A2507" w14:textId="7307B266">
      <w:pPr>
        <w:pStyle w:val="ListParagraph"/>
        <w:numPr>
          <w:ilvl w:val="0"/>
          <w:numId w:val="14"/>
        </w:numPr>
      </w:pPr>
      <w:r>
        <w:t>Access to NIHR Academy and other training resources available to CAMHR team for professional development</w:t>
      </w:r>
      <w:r w:rsidR="000B03AD">
        <w:t>,</w:t>
      </w:r>
      <w:r>
        <w:t xml:space="preserve"> inclusive leadership</w:t>
      </w:r>
      <w:r w:rsidR="000B03AD">
        <w:t xml:space="preserve"> skills,</w:t>
      </w:r>
      <w:r>
        <w:t xml:space="preserve"> and EDI</w:t>
      </w:r>
      <w:r w:rsidR="000B03AD">
        <w:t>A</w:t>
      </w:r>
      <w:r>
        <w:t xml:space="preserve"> training </w:t>
      </w:r>
    </w:p>
    <w:p w:rsidR="00C23FB9" w:rsidP="00C23FB9" w:rsidRDefault="00C23FB9" w14:paraId="54470F37" w14:textId="77777777">
      <w:pPr>
        <w:pStyle w:val="ListParagraph"/>
      </w:pPr>
    </w:p>
    <w:p w:rsidR="002A3999" w:rsidP="00AE1316" w:rsidRDefault="00813D0E" w14:paraId="32140897" w14:textId="5953AA78">
      <w:pPr>
        <w:pStyle w:val="Heading3"/>
      </w:pPr>
      <w:bookmarkStart w:name="_Toc196735686" w:id="7"/>
      <w:r>
        <w:t xml:space="preserve">3.2. </w:t>
      </w:r>
      <w:r w:rsidR="002A3999">
        <w:t>Create a collaborative and equitable research culture</w:t>
      </w:r>
      <w:bookmarkEnd w:id="7"/>
    </w:p>
    <w:p w:rsidR="008D52B6" w:rsidP="00096163" w:rsidRDefault="00C23FB9" w14:paraId="7B6AAA3C" w14:textId="77777777">
      <w:pPr>
        <w:pStyle w:val="ListParagraph"/>
        <w:numPr>
          <w:ilvl w:val="1"/>
          <w:numId w:val="22"/>
        </w:numPr>
      </w:pPr>
      <w:r>
        <w:t>Develop and follow a CAMHR publication policy which clearly delineate responsibilities and enables all members of the team regardless of background or experience to make meaningful contributions to research</w:t>
      </w:r>
    </w:p>
    <w:p w:rsidR="008D52B6" w:rsidP="00096163" w:rsidRDefault="00E9564B" w14:paraId="4C62B03A" w14:textId="010F804F">
      <w:pPr>
        <w:pStyle w:val="ListParagraph"/>
        <w:numPr>
          <w:ilvl w:val="1"/>
          <w:numId w:val="22"/>
        </w:numPr>
      </w:pPr>
      <w:r>
        <w:t>Flexible, hybrid, and family-friendly working policies and practices which align with the University of Hull procedures</w:t>
      </w:r>
    </w:p>
    <w:p w:rsidR="00E9564B" w:rsidP="00096163" w:rsidRDefault="00E9564B" w14:paraId="20514DB7" w14:textId="33E3FCB6">
      <w:pPr>
        <w:pStyle w:val="ListParagraph"/>
        <w:numPr>
          <w:ilvl w:val="1"/>
          <w:numId w:val="22"/>
        </w:numPr>
      </w:pPr>
      <w:r>
        <w:t xml:space="preserve">Travel policies and support with travelling to and attending events for employees who may incur disproportionate difficulties </w:t>
      </w:r>
    </w:p>
    <w:p w:rsidR="00E9564B" w:rsidP="00096163" w:rsidRDefault="008D52B6" w14:paraId="24137BD7" w14:textId="313CDCBC">
      <w:pPr>
        <w:pStyle w:val="ListParagraph"/>
        <w:numPr>
          <w:ilvl w:val="1"/>
          <w:numId w:val="22"/>
        </w:numPr>
      </w:pPr>
      <w:r>
        <w:t xml:space="preserve">Facilitating research visits between </w:t>
      </w:r>
      <w:r w:rsidR="00C7459A">
        <w:t xml:space="preserve">researchers based </w:t>
      </w:r>
      <w:r w:rsidR="009D30F1">
        <w:t>at the University of</w:t>
      </w:r>
      <w:r w:rsidR="00C7459A">
        <w:t xml:space="preserve"> Hull with </w:t>
      </w:r>
      <w:r>
        <w:t>collaborator</w:t>
      </w:r>
      <w:r w:rsidR="009D30F1">
        <w:t>s’ (University of Kent)</w:t>
      </w:r>
      <w:r>
        <w:t xml:space="preserve"> and partners</w:t>
      </w:r>
      <w:r w:rsidR="009D30F1">
        <w:t>’ (University of York and King’s College London) institutions</w:t>
      </w:r>
    </w:p>
    <w:p w:rsidR="009668C2" w:rsidP="00096163" w:rsidRDefault="007D339F" w14:paraId="206A0333" w14:textId="3998959A">
      <w:pPr>
        <w:pStyle w:val="ListParagraph"/>
        <w:numPr>
          <w:ilvl w:val="1"/>
          <w:numId w:val="22"/>
        </w:numPr>
      </w:pPr>
      <w:r>
        <w:t xml:space="preserve">Close collaboration between </w:t>
      </w:r>
      <w:r w:rsidR="00CD6F45">
        <w:t>r</w:t>
      </w:r>
      <w:r>
        <w:t>esearchers and PPIE co-ordinators to ensure meaningful involvement of people with lived experience</w:t>
      </w:r>
      <w:r w:rsidR="00CD6F45">
        <w:t xml:space="preserve"> and their friends and families</w:t>
      </w:r>
      <w:r w:rsidR="00526D30">
        <w:t xml:space="preserve"> throughout all stages of research</w:t>
      </w:r>
      <w:r w:rsidR="00C86C05">
        <w:t>,</w:t>
      </w:r>
      <w:r w:rsidR="0093036D">
        <w:t xml:space="preserve"> also to ensure that those involved mirror the diversity of the communities benefiting from the research </w:t>
      </w:r>
    </w:p>
    <w:p w:rsidR="00943661" w:rsidP="00096163" w:rsidRDefault="00943661" w14:paraId="3E4F97E6" w14:textId="42C5ECAD">
      <w:pPr>
        <w:pStyle w:val="ListParagraph"/>
        <w:numPr>
          <w:ilvl w:val="1"/>
          <w:numId w:val="22"/>
        </w:numPr>
      </w:pPr>
      <w:r>
        <w:t>Encouraging Centre members to consult with the EDIA team and PPIE team to help with planning and budgeting for inclusion in new funding applications</w:t>
      </w:r>
    </w:p>
    <w:p w:rsidRPr="00790A9B" w:rsidR="002669B8" w:rsidP="00096163" w:rsidRDefault="002F0501" w14:paraId="24263EE8" w14:textId="614F1DEE">
      <w:pPr>
        <w:pStyle w:val="ListParagraph"/>
        <w:numPr>
          <w:ilvl w:val="1"/>
          <w:numId w:val="22"/>
        </w:numPr>
      </w:pPr>
      <w:r w:rsidRPr="00790A9B">
        <w:t>Young people’s internships in research</w:t>
      </w:r>
      <w:r w:rsidRPr="00790A9B" w:rsidR="00335AC2">
        <w:t xml:space="preserve"> </w:t>
      </w:r>
      <w:r w:rsidR="0018224F">
        <w:t xml:space="preserve">will be </w:t>
      </w:r>
      <w:r w:rsidR="001C328F">
        <w:t xml:space="preserve">offered </w:t>
      </w:r>
      <w:r w:rsidRPr="00790A9B" w:rsidR="00335AC2">
        <w:t>to provide mutually beneficial</w:t>
      </w:r>
      <w:r w:rsidRPr="00790A9B" w:rsidR="00321AD5">
        <w:t xml:space="preserve"> involvement from experts by experience and</w:t>
      </w:r>
      <w:r w:rsidRPr="00790A9B" w:rsidR="00790A9B">
        <w:t xml:space="preserve"> to</w:t>
      </w:r>
      <w:r w:rsidRPr="00790A9B" w:rsidR="00321AD5">
        <w:t xml:space="preserve"> enhance</w:t>
      </w:r>
      <w:r w:rsidRPr="00790A9B" w:rsidR="001C51C9">
        <w:t xml:space="preserve"> </w:t>
      </w:r>
      <w:r w:rsidR="001C328F">
        <w:t xml:space="preserve">an </w:t>
      </w:r>
      <w:r w:rsidRPr="00790A9B" w:rsidR="001C51C9">
        <w:t>equitable research cultur</w:t>
      </w:r>
      <w:r w:rsidRPr="00790A9B" w:rsidR="00790A9B">
        <w:t>e to benefit future generations of researchers and academic staff</w:t>
      </w:r>
    </w:p>
    <w:p w:rsidRPr="00790A9B" w:rsidR="007A5F7D" w:rsidP="00096163" w:rsidRDefault="007A5F7D" w14:paraId="0DA40ADA" w14:textId="1D275579">
      <w:pPr>
        <w:pStyle w:val="ListParagraph"/>
        <w:numPr>
          <w:ilvl w:val="1"/>
          <w:numId w:val="22"/>
        </w:numPr>
      </w:pPr>
      <w:r w:rsidRPr="00790A9B">
        <w:t>Weekly team lunch</w:t>
      </w:r>
      <w:r w:rsidRPr="00790A9B" w:rsidR="00405A0D">
        <w:t xml:space="preserve"> for entire CAMHR team, including postgraduate researchers, to</w:t>
      </w:r>
      <w:r w:rsidRPr="00790A9B" w:rsidR="00D414C9">
        <w:t xml:space="preserve"> promote inclusion and collegiality</w:t>
      </w:r>
    </w:p>
    <w:p w:rsidR="002A3999" w:rsidP="002A3999" w:rsidRDefault="002A3999" w14:paraId="6BB28399" w14:textId="77777777"/>
    <w:p w:rsidR="00CF23AD" w:rsidP="00AE1316" w:rsidRDefault="00AE1316" w14:paraId="18F34928" w14:textId="6E96FCF3">
      <w:pPr>
        <w:pStyle w:val="Heading3"/>
      </w:pPr>
      <w:bookmarkStart w:name="_Toc196735687" w:id="8"/>
      <w:r>
        <w:t xml:space="preserve">3.3. </w:t>
      </w:r>
      <w:r w:rsidR="006B630C">
        <w:t>Pro</w:t>
      </w:r>
      <w:r w:rsidR="002A3999">
        <w:t>vid</w:t>
      </w:r>
      <w:r w:rsidR="002753EC">
        <w:t>e</w:t>
      </w:r>
      <w:r w:rsidR="002A3999">
        <w:t xml:space="preserve"> an</w:t>
      </w:r>
      <w:r w:rsidR="006B630C">
        <w:t xml:space="preserve"> access</w:t>
      </w:r>
      <w:r w:rsidR="002A3999">
        <w:t>ible</w:t>
      </w:r>
      <w:r w:rsidR="00D21F99">
        <w:t xml:space="preserve"> and inclu</w:t>
      </w:r>
      <w:r w:rsidR="002A3999">
        <w:t>sive</w:t>
      </w:r>
      <w:r w:rsidR="006B630C">
        <w:t xml:space="preserve"> </w:t>
      </w:r>
      <w:r w:rsidR="002A3999">
        <w:t>research environment</w:t>
      </w:r>
      <w:bookmarkEnd w:id="8"/>
    </w:p>
    <w:p w:rsidR="004F2CB6" w:rsidP="00CF23AD" w:rsidRDefault="00CF23AD" w14:paraId="42E9BAB4" w14:textId="3DD29F15">
      <w:pPr>
        <w:pStyle w:val="ListParagraph"/>
        <w:numPr>
          <w:ilvl w:val="0"/>
          <w:numId w:val="21"/>
        </w:numPr>
      </w:pPr>
      <w:r>
        <w:t>P</w:t>
      </w:r>
      <w:r w:rsidR="00893E3F">
        <w:t>romote accessibility</w:t>
      </w:r>
      <w:r w:rsidR="004F2CB6">
        <w:t xml:space="preserve"> </w:t>
      </w:r>
      <w:r w:rsidR="00E06711">
        <w:t>across</w:t>
      </w:r>
      <w:r w:rsidR="004F2CB6">
        <w:t xml:space="preserve"> </w:t>
      </w:r>
      <w:r w:rsidR="00893E3F">
        <w:t xml:space="preserve">the Centre’s entire remit, including </w:t>
      </w:r>
      <w:r w:rsidR="00FA7379">
        <w:t>in-house</w:t>
      </w:r>
      <w:r w:rsidR="00E06711">
        <w:t>, PPIE and public</w:t>
      </w:r>
      <w:r w:rsidR="00FA7379">
        <w:t xml:space="preserve"> activities and events</w:t>
      </w:r>
    </w:p>
    <w:p w:rsidR="0050109C" w:rsidP="00B020BD" w:rsidRDefault="0050109C" w14:paraId="17FF52A4" w14:textId="05E1CFB3">
      <w:pPr>
        <w:pStyle w:val="ListParagraph"/>
        <w:numPr>
          <w:ilvl w:val="0"/>
          <w:numId w:val="12"/>
        </w:numPr>
      </w:pPr>
      <w:r>
        <w:t xml:space="preserve">Including </w:t>
      </w:r>
      <w:r w:rsidR="001250A9">
        <w:t>requests for information about access needs in all event invitations and striving to meet these as far as reasonably practicable.</w:t>
      </w:r>
    </w:p>
    <w:p w:rsidR="00A0155F" w:rsidP="00B020BD" w:rsidRDefault="00A0155F" w14:paraId="6472ACB6" w14:textId="51BE98F8">
      <w:pPr>
        <w:pStyle w:val="ListParagraph"/>
        <w:numPr>
          <w:ilvl w:val="0"/>
          <w:numId w:val="12"/>
        </w:numPr>
      </w:pPr>
      <w:r>
        <w:t xml:space="preserve">Physical access for those with </w:t>
      </w:r>
      <w:r w:rsidR="00156EEB">
        <w:t xml:space="preserve">physical disabilities </w:t>
      </w:r>
      <w:r w:rsidR="00B9308B">
        <w:t>–</w:t>
      </w:r>
      <w:r w:rsidR="00156EEB">
        <w:t xml:space="preserve"> </w:t>
      </w:r>
      <w:r w:rsidR="00B9308B">
        <w:t>ensure wheelchair accessible, blue badge or reserved carparking available nearby</w:t>
      </w:r>
    </w:p>
    <w:p w:rsidR="00FB0069" w:rsidP="00B020BD" w:rsidRDefault="002E18E9" w14:paraId="7832DACA" w14:textId="178D2EF8">
      <w:pPr>
        <w:pStyle w:val="ListParagraph"/>
        <w:numPr>
          <w:ilvl w:val="0"/>
          <w:numId w:val="12"/>
        </w:numPr>
      </w:pPr>
      <w:r>
        <w:t xml:space="preserve">Hearing impaired – </w:t>
      </w:r>
      <w:r w:rsidR="00D3619F">
        <w:t xml:space="preserve">hearing </w:t>
      </w:r>
      <w:r>
        <w:t xml:space="preserve">loop available (particularly for large events), </w:t>
      </w:r>
      <w:r w:rsidR="00826F84">
        <w:t xml:space="preserve">well sound-proofed </w:t>
      </w:r>
      <w:r>
        <w:t xml:space="preserve">rooms for smaller meetings, </w:t>
      </w:r>
      <w:r w:rsidR="00D3619F">
        <w:t xml:space="preserve">quiet areas </w:t>
      </w:r>
      <w:r w:rsidR="00B41F20">
        <w:t>for breaks</w:t>
      </w:r>
    </w:p>
    <w:p w:rsidR="00050084" w:rsidP="00B020BD" w:rsidRDefault="00050084" w14:paraId="0075686D" w14:textId="45FC6465">
      <w:pPr>
        <w:pStyle w:val="ListParagraph"/>
        <w:numPr>
          <w:ilvl w:val="0"/>
          <w:numId w:val="12"/>
        </w:numPr>
      </w:pPr>
      <w:r>
        <w:t xml:space="preserve">Neurodiverse groups </w:t>
      </w:r>
      <w:r w:rsidR="005A1FCC">
        <w:t>–</w:t>
      </w:r>
      <w:r>
        <w:t xml:space="preserve"> </w:t>
      </w:r>
      <w:r w:rsidR="00112822">
        <w:t>identifying</w:t>
      </w:r>
      <w:r w:rsidR="00626CBD">
        <w:t xml:space="preserve"> a quiet comfortable space with low-lighting </w:t>
      </w:r>
      <w:r w:rsidR="00112822">
        <w:t>and chairs (a sensory room)</w:t>
      </w:r>
      <w:r w:rsidR="00626CBD">
        <w:t xml:space="preserve"> </w:t>
      </w:r>
      <w:r w:rsidR="00112822">
        <w:t>to which neurodiverse people can temporarily retire if the</w:t>
      </w:r>
      <w:r w:rsidR="00C53F75">
        <w:t>y</w:t>
      </w:r>
      <w:r w:rsidR="00112822">
        <w:t xml:space="preserve"> feel overwhelmed</w:t>
      </w:r>
      <w:r w:rsidR="00C53F75">
        <w:t>/</w:t>
      </w:r>
      <w:r w:rsidR="00112822">
        <w:t>oversti</w:t>
      </w:r>
      <w:r w:rsidR="00C53F75">
        <w:t>mulated</w:t>
      </w:r>
    </w:p>
    <w:p w:rsidR="002A3999" w:rsidP="002A3999" w:rsidRDefault="00402DAF" w14:paraId="14DD4406" w14:textId="77777777">
      <w:pPr>
        <w:pStyle w:val="ListParagraph"/>
        <w:numPr>
          <w:ilvl w:val="0"/>
          <w:numId w:val="12"/>
        </w:numPr>
      </w:pPr>
      <w:r>
        <w:t xml:space="preserve">Visual impairments and </w:t>
      </w:r>
      <w:r w:rsidR="00504D49">
        <w:t xml:space="preserve">specific learning difficulties - </w:t>
      </w:r>
      <w:r w:rsidR="005A1FCC">
        <w:t>All reports and minutes in a screen-reader friendly format</w:t>
      </w:r>
      <w:r w:rsidR="000B4CE7">
        <w:t xml:space="preserve">. Options to adjust colour scheme and contrast </w:t>
      </w:r>
      <w:r w:rsidR="001E12EF">
        <w:t>of webpages and reports. Captioning of all videos and transcripts of podcasts.</w:t>
      </w:r>
    </w:p>
    <w:p w:rsidR="00F379E1" w:rsidP="002A3999" w:rsidRDefault="00F379E1" w14:paraId="53F8C1D3" w14:textId="6F2C62F5">
      <w:pPr>
        <w:pStyle w:val="ListParagraph"/>
        <w:numPr>
          <w:ilvl w:val="0"/>
          <w:numId w:val="12"/>
        </w:numPr>
      </w:pPr>
      <w:r>
        <w:lastRenderedPageBreak/>
        <w:t xml:space="preserve">Avoidance of stigmatising language and </w:t>
      </w:r>
      <w:r w:rsidR="00EB7339">
        <w:t xml:space="preserve">agreeing ways of referencing </w:t>
      </w:r>
      <w:r w:rsidR="000F035F">
        <w:t xml:space="preserve">health </w:t>
      </w:r>
      <w:r w:rsidR="00E755EC">
        <w:t>conditions</w:t>
      </w:r>
      <w:r w:rsidR="00570605">
        <w:t xml:space="preserve">, </w:t>
      </w:r>
      <w:r w:rsidR="000F035F">
        <w:t>disabilities</w:t>
      </w:r>
      <w:r w:rsidR="00570605">
        <w:t>,</w:t>
      </w:r>
      <w:r w:rsidR="000F035F">
        <w:t xml:space="preserve"> </w:t>
      </w:r>
      <w:r w:rsidR="00570605">
        <w:t>and mental health/substance use</w:t>
      </w:r>
      <w:r w:rsidR="000F035F">
        <w:t xml:space="preserve"> </w:t>
      </w:r>
      <w:r w:rsidR="002D7977">
        <w:t>challenges</w:t>
      </w:r>
      <w:r w:rsidR="000F035F">
        <w:t xml:space="preserve"> that </w:t>
      </w:r>
      <w:r w:rsidR="002D1173">
        <w:t>feel authentic</w:t>
      </w:r>
      <w:r w:rsidR="004533C9">
        <w:t xml:space="preserve"> and respectful</w:t>
      </w:r>
      <w:r w:rsidR="002D1173">
        <w:t xml:space="preserve"> to those experiencing them</w:t>
      </w:r>
      <w:r w:rsidR="00384F64">
        <w:t>.</w:t>
      </w:r>
    </w:p>
    <w:p w:rsidR="00143A29" w:rsidP="003A1735" w:rsidRDefault="00760A86" w14:paraId="388A966C" w14:textId="5A350550">
      <w:pPr>
        <w:pStyle w:val="ListParagraph"/>
        <w:numPr>
          <w:ilvl w:val="0"/>
          <w:numId w:val="13"/>
        </w:numPr>
      </w:pPr>
      <w:r>
        <w:t xml:space="preserve">Encouraging individuals to share their pronouns and their preferred name, where they feel comfortable to do so. </w:t>
      </w:r>
    </w:p>
    <w:p w:rsidR="00A825DC" w:rsidP="00A825DC" w:rsidRDefault="00A825DC" w14:paraId="6EAEFBE9" w14:textId="77777777">
      <w:pPr>
        <w:pStyle w:val="ListParagraph"/>
        <w:numPr>
          <w:ilvl w:val="0"/>
          <w:numId w:val="13"/>
        </w:numPr>
      </w:pPr>
      <w:r>
        <w:t>Easy-read options for all CAMHR outputs with options for alternative methods of information sharing upon request.</w:t>
      </w:r>
    </w:p>
    <w:p w:rsidR="001853EC" w:rsidP="00A825DC" w:rsidRDefault="001853EC" w14:paraId="649A0BE8" w14:textId="0B99BC75">
      <w:pPr>
        <w:pStyle w:val="ListParagraph"/>
        <w:numPr>
          <w:ilvl w:val="0"/>
          <w:numId w:val="13"/>
        </w:numPr>
      </w:pPr>
      <w:r>
        <w:t>Using templates for easy-read and public-facing documents, as well as Terms of Reference for stakeholder and PPIE groups.</w:t>
      </w:r>
    </w:p>
    <w:p w:rsidR="00A825DC" w:rsidP="00A825DC" w:rsidRDefault="00A825DC" w14:paraId="6AF43052" w14:textId="4B5961AA">
      <w:pPr>
        <w:pStyle w:val="ListParagraph"/>
        <w:numPr>
          <w:ilvl w:val="0"/>
          <w:numId w:val="13"/>
        </w:numPr>
      </w:pPr>
      <w:r>
        <w:t xml:space="preserve">Acronyms will be avoided where possible. </w:t>
      </w:r>
    </w:p>
    <w:p w:rsidR="00760A86" w:rsidP="005D75BE" w:rsidRDefault="00A825DC" w14:paraId="5AC0473F" w14:textId="1A69D6D3">
      <w:pPr>
        <w:pStyle w:val="ListParagraph"/>
        <w:numPr>
          <w:ilvl w:val="0"/>
          <w:numId w:val="13"/>
        </w:numPr>
      </w:pPr>
      <w:r>
        <w:t>Meetings will be clearly signposted, and maps</w:t>
      </w:r>
      <w:r w:rsidR="001A215E">
        <w:t xml:space="preserve"> can be</w:t>
      </w:r>
      <w:r>
        <w:t xml:space="preserve"> provided in advance to easily locate buildings, rooms, and facilities. </w:t>
      </w:r>
    </w:p>
    <w:p w:rsidR="001853EC" w:rsidP="005D75BE" w:rsidRDefault="001853EC" w14:paraId="04CE20D2" w14:textId="0345E96F">
      <w:pPr>
        <w:pStyle w:val="ListParagraph"/>
        <w:numPr>
          <w:ilvl w:val="0"/>
          <w:numId w:val="13"/>
        </w:numPr>
      </w:pPr>
      <w:r>
        <w:t>A</w:t>
      </w:r>
      <w:r w:rsidRPr="001853EC">
        <w:t xml:space="preserve">ll documents related to meetings and events </w:t>
      </w:r>
      <w:r>
        <w:t xml:space="preserve">circulated </w:t>
      </w:r>
      <w:r w:rsidRPr="001853EC">
        <w:t>in a timely manner</w:t>
      </w:r>
      <w:r>
        <w:t xml:space="preserve"> with</w:t>
      </w:r>
      <w:r w:rsidRPr="001853EC">
        <w:t xml:space="preserve"> clear contact information and attendees </w:t>
      </w:r>
      <w:r>
        <w:t xml:space="preserve">encouraged </w:t>
      </w:r>
      <w:r w:rsidRPr="001853EC">
        <w:t>to communicate their access needs in advance.</w:t>
      </w:r>
    </w:p>
    <w:p w:rsidR="00335073" w:rsidP="00335073" w:rsidRDefault="00335073" w14:paraId="48E983E3" w14:textId="77777777">
      <w:pPr>
        <w:pStyle w:val="ListParagraph"/>
      </w:pPr>
    </w:p>
    <w:p w:rsidR="00385B66" w:rsidP="00CF5BD7" w:rsidRDefault="00CF5BD7" w14:paraId="31ADBDC1" w14:textId="1E0D8127">
      <w:pPr>
        <w:pStyle w:val="Heading2"/>
      </w:pPr>
      <w:bookmarkStart w:name="_Toc196735688" w:id="9"/>
      <w:r>
        <w:t xml:space="preserve">4. </w:t>
      </w:r>
      <w:r w:rsidR="001F2F7C">
        <w:t>Monitoring our EDIA objectives</w:t>
      </w:r>
      <w:bookmarkEnd w:id="9"/>
    </w:p>
    <w:p w:rsidR="001F2F7C" w:rsidP="001F2F7C" w:rsidRDefault="000609CD" w14:paraId="5A2C406A" w14:textId="10C17BC9">
      <w:r>
        <w:t>W</w:t>
      </w:r>
      <w:r w:rsidR="00D5662F">
        <w:t xml:space="preserve">e will </w:t>
      </w:r>
      <w:r w:rsidR="00C52A58">
        <w:t>continuously track</w:t>
      </w:r>
      <w:r w:rsidR="00216439">
        <w:t xml:space="preserve"> the i</w:t>
      </w:r>
      <w:r>
        <w:t xml:space="preserve">mplementation </w:t>
      </w:r>
      <w:r w:rsidR="00C52A58">
        <w:t xml:space="preserve">of our three EDIA objectives </w:t>
      </w:r>
      <w:r>
        <w:t>into</w:t>
      </w:r>
      <w:r w:rsidR="00D5662F">
        <w:t xml:space="preserve"> the </w:t>
      </w:r>
      <w:r w:rsidR="005B2305">
        <w:t>activities and documentation of CAMHR</w:t>
      </w:r>
      <w:r>
        <w:t xml:space="preserve"> as described in the subsections below</w:t>
      </w:r>
      <w:r w:rsidR="00C52A58">
        <w:t xml:space="preserve"> and </w:t>
      </w:r>
      <w:r>
        <w:t>review</w:t>
      </w:r>
      <w:r w:rsidR="00C52A58">
        <w:t xml:space="preserve"> progress </w:t>
      </w:r>
      <w:r>
        <w:t>at the monthly Programme Management Group (PMG) meetings</w:t>
      </w:r>
      <w:r w:rsidR="00C52A58">
        <w:t xml:space="preserve">. </w:t>
      </w:r>
      <w:r w:rsidR="00EF7B3E">
        <w:t xml:space="preserve">A brief EDIA report with some key metrics will be produced and reviewed by the PMG every six months. </w:t>
      </w:r>
      <w:r w:rsidR="00C52A58">
        <w:t>We will discuss any challenges that have arisen and potential solutions to these and/or smarter ways to better achieve our overall objectives</w:t>
      </w:r>
      <w:r w:rsidR="005B2305">
        <w:t xml:space="preserve">. </w:t>
      </w:r>
    </w:p>
    <w:p w:rsidR="00335073" w:rsidP="001F2F7C" w:rsidRDefault="00335073" w14:paraId="52D71ADC" w14:textId="77777777"/>
    <w:p w:rsidR="00500C85" w:rsidP="00AE1316" w:rsidRDefault="00500C85" w14:paraId="20A2ECC4" w14:textId="569E1C41">
      <w:pPr>
        <w:pStyle w:val="Heading3"/>
      </w:pPr>
      <w:bookmarkStart w:name="_Toc196735689" w:id="10"/>
      <w:r>
        <w:t>4.1. Promot</w:t>
      </w:r>
      <w:r w:rsidR="002753EC">
        <w:t>e</w:t>
      </w:r>
      <w:r>
        <w:t xml:space="preserve"> diversity in leadership and research teams</w:t>
      </w:r>
      <w:bookmarkEnd w:id="10"/>
      <w:r>
        <w:t xml:space="preserve"> </w:t>
      </w:r>
    </w:p>
    <w:p w:rsidR="00335E67" w:rsidP="00335E67" w:rsidRDefault="00335E67" w14:paraId="2DCDE92D" w14:textId="4D762C04">
      <w:r>
        <w:t xml:space="preserve">We will </w:t>
      </w:r>
      <w:r w:rsidR="00F95C00">
        <w:t>track the intellectual outputs</w:t>
      </w:r>
      <w:r w:rsidR="00593ACC">
        <w:t>, knowledge mobilisation, and training activities</w:t>
      </w:r>
      <w:r w:rsidR="00F95C00">
        <w:t xml:space="preserve"> of all CAMHR members in a Microsoft Excel document</w:t>
      </w:r>
      <w:r w:rsidR="00593ACC">
        <w:t xml:space="preserve">. This will </w:t>
      </w:r>
      <w:r w:rsidR="00B945A7">
        <w:t xml:space="preserve">allow the team to ensure that there is a diversity of outputs and events, and to </w:t>
      </w:r>
      <w:r w:rsidR="00907D90">
        <w:t>identify areas where ECRs and MCRs can further build their research profile.</w:t>
      </w:r>
    </w:p>
    <w:p w:rsidR="00EE49E8" w:rsidP="00335E67" w:rsidRDefault="00EE49E8" w14:paraId="54C9C577" w14:textId="4A9E26B2">
      <w:r>
        <w:t xml:space="preserve">We will advertise </w:t>
      </w:r>
      <w:r w:rsidR="005168B8">
        <w:t>for upcoming positions in an equitable manner and in line with University of Hull policies</w:t>
      </w:r>
      <w:r w:rsidR="0081213E">
        <w:t>, procedures, and commitments,</w:t>
      </w:r>
      <w:r w:rsidR="005168B8">
        <w:t xml:space="preserve"> such as the Disability Confident Scheme and </w:t>
      </w:r>
      <w:r w:rsidR="0081213E">
        <w:t xml:space="preserve">the </w:t>
      </w:r>
      <w:r w:rsidR="00750469">
        <w:t>Mindful Employer Charter.</w:t>
      </w:r>
    </w:p>
    <w:p w:rsidRPr="00335E67" w:rsidR="00335073" w:rsidP="00335E67" w:rsidRDefault="00335073" w14:paraId="082F32E7" w14:textId="77777777"/>
    <w:p w:rsidR="00335E67" w:rsidP="00335073" w:rsidRDefault="00FF35C1" w14:paraId="38D335FE" w14:textId="7AE5198B">
      <w:pPr>
        <w:pStyle w:val="Heading3"/>
      </w:pPr>
      <w:bookmarkStart w:name="_Toc196735690" w:id="11"/>
      <w:r>
        <w:t>4.2. Create a collaborative and equitable research culture</w:t>
      </w:r>
      <w:bookmarkEnd w:id="11"/>
    </w:p>
    <w:p w:rsidR="004F1B0B" w:rsidP="00FF35C1" w:rsidRDefault="00570F27" w14:paraId="3D9C5F79" w14:textId="27B3F4BC">
      <w:r>
        <w:t xml:space="preserve">We will develop and follow a CAMHR publication policy to ensure best practice in collaboration and </w:t>
      </w:r>
      <w:r w:rsidR="00370C81">
        <w:t>delineation of responsibilities. All publications</w:t>
      </w:r>
      <w:r w:rsidR="00BA5341">
        <w:t xml:space="preserve"> and other intellectual outputs will be tracked</w:t>
      </w:r>
      <w:r w:rsidR="00A93F12">
        <w:t xml:space="preserve"> and reviewed regularly to make sure that all members</w:t>
      </w:r>
      <w:r w:rsidR="00E6317A">
        <w:t xml:space="preserve"> have the opportunity to make meaningful contributions and to develop their skills and career </w:t>
      </w:r>
      <w:r w:rsidR="004F1B0B">
        <w:t xml:space="preserve">in a manner that benefits them. This will also include tracking research visits and training and learning events. </w:t>
      </w:r>
    </w:p>
    <w:p w:rsidRPr="002B5E9D" w:rsidR="00D3168F" w:rsidP="00FF35C1" w:rsidRDefault="00D3168F" w14:paraId="468219ED" w14:textId="3E54AF78">
      <w:r w:rsidRPr="002B5E9D">
        <w:t>Young people’s internships</w:t>
      </w:r>
      <w:r w:rsidRPr="002B5E9D" w:rsidR="005A1D9D">
        <w:t xml:space="preserve"> will take an</w:t>
      </w:r>
      <w:r w:rsidRPr="002B5E9D">
        <w:t xml:space="preserve"> inclusive approach to recruitment</w:t>
      </w:r>
      <w:r w:rsidRPr="002B5E9D" w:rsidR="00084B6B">
        <w:t xml:space="preserve">, </w:t>
      </w:r>
      <w:r w:rsidR="002B5E9D">
        <w:t>accounting for</w:t>
      </w:r>
      <w:r w:rsidRPr="002B5E9D" w:rsidR="00041023">
        <w:t xml:space="preserve"> </w:t>
      </w:r>
      <w:r w:rsidRPr="002B5E9D" w:rsidR="00084B6B">
        <w:t>the barriers to education and employment that young people with lived experience of mental health and substance use problems may face</w:t>
      </w:r>
      <w:r w:rsidRPr="002B5E9D" w:rsidR="003E206F">
        <w:t>. We will also</w:t>
      </w:r>
      <w:r w:rsidRPr="002B5E9D" w:rsidR="00041023">
        <w:t xml:space="preserve"> recruit </w:t>
      </w:r>
      <w:r w:rsidRPr="002B5E9D" w:rsidR="00F72036">
        <w:t xml:space="preserve">from existing lived experience </w:t>
      </w:r>
      <w:r w:rsidRPr="002B5E9D" w:rsidR="00F72036">
        <w:lastRenderedPageBreak/>
        <w:t>groups to enhance equity of opportunity to be involved in research</w:t>
      </w:r>
      <w:r w:rsidRPr="002B5E9D" w:rsidR="005F05FE">
        <w:t xml:space="preserve">. </w:t>
      </w:r>
      <w:r w:rsidRPr="002B5E9D" w:rsidR="00041023">
        <w:t>Additionally,</w:t>
      </w:r>
      <w:r w:rsidRPr="002B5E9D" w:rsidR="005F05FE">
        <w:t xml:space="preserve"> a young person </w:t>
      </w:r>
      <w:r w:rsidRPr="002B5E9D" w:rsidR="00B43C82">
        <w:t>with lived experience will be included in the hiring process and interview panel.</w:t>
      </w:r>
    </w:p>
    <w:p w:rsidR="00943661" w:rsidP="00FF35C1" w:rsidRDefault="00F7409A" w14:paraId="30B1D455" w14:textId="541A473D">
      <w:r>
        <w:t xml:space="preserve">Researchers and PPIE coordinators will have weekly meetings to promote collaboration and involvement of PPIE contributors. The PPIE team will </w:t>
      </w:r>
      <w:r w:rsidR="00B74421">
        <w:t xml:space="preserve">monitor the </w:t>
      </w:r>
      <w:r w:rsidR="00183CF0">
        <w:t>demographics and characteristics</w:t>
      </w:r>
      <w:r w:rsidR="00B74421">
        <w:t xml:space="preserve"> of contributors to ensure that the research is </w:t>
      </w:r>
      <w:r w:rsidR="00441D90">
        <w:t xml:space="preserve">reflective of the needs of the </w:t>
      </w:r>
      <w:r w:rsidR="00335073">
        <w:t>local communities across</w:t>
      </w:r>
      <w:r w:rsidR="00441D90">
        <w:t xml:space="preserve"> the Yorkshire and Humber ICB. </w:t>
      </w:r>
    </w:p>
    <w:p w:rsidR="00335073" w:rsidP="00FF35C1" w:rsidRDefault="00335073" w14:paraId="136D4D53" w14:textId="77777777"/>
    <w:p w:rsidR="00335073" w:rsidP="00335073" w:rsidRDefault="00335073" w14:paraId="66E6A438" w14:textId="054990E6">
      <w:pPr>
        <w:pStyle w:val="Heading3"/>
      </w:pPr>
      <w:bookmarkStart w:name="_Toc196735691" w:id="12"/>
      <w:r w:rsidRPr="00335073">
        <w:t>4.</w:t>
      </w:r>
      <w:r>
        <w:t>3. Provid</w:t>
      </w:r>
      <w:r w:rsidR="002753EC">
        <w:t>e</w:t>
      </w:r>
      <w:r>
        <w:t xml:space="preserve"> an accessible and inclusive research environment</w:t>
      </w:r>
      <w:bookmarkEnd w:id="12"/>
    </w:p>
    <w:p w:rsidR="003E0F88" w:rsidP="003E0F88" w:rsidRDefault="003E0F88" w14:paraId="7C384705" w14:textId="627BC14D">
      <w:r>
        <w:t xml:space="preserve">We will </w:t>
      </w:r>
      <w:r w:rsidR="00616E00">
        <w:t>provide</w:t>
      </w:r>
      <w:r w:rsidR="00CF5BD7">
        <w:t xml:space="preserve"> templates and checklists </w:t>
      </w:r>
      <w:r w:rsidR="00616E00">
        <w:t xml:space="preserve">to those organising </w:t>
      </w:r>
      <w:r w:rsidR="00CF5BD7">
        <w:t xml:space="preserve">events </w:t>
      </w:r>
      <w:r>
        <w:t>across the Centre’s entire remit, including in-house, PPIE and public activities and events</w:t>
      </w:r>
      <w:r w:rsidR="00FE360B">
        <w:t xml:space="preserve">, </w:t>
      </w:r>
      <w:r w:rsidR="00CF5BD7">
        <w:t>to</w:t>
      </w:r>
      <w:r w:rsidR="00FE360B">
        <w:t xml:space="preserve"> ensure that inclusion</w:t>
      </w:r>
      <w:r w:rsidR="00CF5BD7">
        <w:t xml:space="preserve"> and accessibility considerations (as listed in section 3.3) are</w:t>
      </w:r>
      <w:r w:rsidR="00FE360B">
        <w:t xml:space="preserve"> </w:t>
      </w:r>
      <w:r w:rsidR="00CF5BD7">
        <w:t xml:space="preserve">fully incorporated </w:t>
      </w:r>
      <w:r w:rsidR="00616E00">
        <w:t>in</w:t>
      </w:r>
      <w:r w:rsidR="00CF5BD7">
        <w:t xml:space="preserve"> the</w:t>
      </w:r>
      <w:r w:rsidR="00AE6C13">
        <w:t xml:space="preserve"> planning and deliver</w:t>
      </w:r>
      <w:r w:rsidR="00CF5BD7">
        <w:t>y</w:t>
      </w:r>
      <w:r w:rsidR="00037072">
        <w:t xml:space="preserve">. </w:t>
      </w:r>
      <w:r w:rsidR="00D33E09">
        <w:t>Reports on events delivered at the Centre PMG meetings will include reflecting on how successfully PPIE</w:t>
      </w:r>
      <w:r w:rsidR="00531D30">
        <w:t>, accessibility, and inclusion</w:t>
      </w:r>
      <w:r w:rsidR="00D33E09">
        <w:t xml:space="preserve"> considerations were met, whether there were any unexpected challenges and if any learning can be taken forward. </w:t>
      </w:r>
      <w:r w:rsidR="00037072">
        <w:t>There is a</w:t>
      </w:r>
      <w:r w:rsidR="00AE6C13">
        <w:t xml:space="preserve"> dedicated budget for PPIE to </w:t>
      </w:r>
      <w:r w:rsidR="00037072">
        <w:t xml:space="preserve">facilitate inclusion and accessibility in all PPIE activities. </w:t>
      </w:r>
    </w:p>
    <w:p w:rsidR="00321584" w:rsidP="003E0F88" w:rsidRDefault="00321584" w14:paraId="3C87FB5E" w14:textId="42D12D35"/>
    <w:p w:rsidRPr="00FF35C1" w:rsidR="00FF35C1" w:rsidP="00FF35C1" w:rsidRDefault="00FF35C1" w14:paraId="507C7A95" w14:textId="77777777"/>
    <w:p w:rsidR="009C7BB7" w:rsidP="00BE411B" w:rsidRDefault="009C7BB7" w14:paraId="70BBD212" w14:textId="77777777">
      <w:pPr>
        <w:sectPr w:rsidR="009C7BB7">
          <w:headerReference w:type="default" r:id="rId22"/>
          <w:footerReference w:type="default" r:id="rId23"/>
          <w:pgSz w:w="11906" w:h="16838"/>
          <w:pgMar w:top="1440" w:right="1440" w:bottom="1440" w:left="1440" w:header="708" w:footer="708" w:gutter="0"/>
          <w:cols w:space="708"/>
          <w:docGrid w:linePitch="360"/>
        </w:sectPr>
      </w:pPr>
    </w:p>
    <w:p w:rsidRPr="00D634A6" w:rsidR="009C7BB7" w:rsidP="009C7BB7" w:rsidRDefault="003B2E17" w14:paraId="7076F59F" w14:textId="04730F05">
      <w:pPr>
        <w:pStyle w:val="Heading2"/>
        <w:rPr>
          <w:rFonts w:cs="Calibri" w:asciiTheme="minorHAnsi" w:hAnsiTheme="minorHAnsi"/>
          <w:sz w:val="28"/>
          <w:szCs w:val="28"/>
        </w:rPr>
      </w:pPr>
      <w:bookmarkStart w:name="_Toc196735564" w:id="13"/>
      <w:r>
        <w:rPr>
          <w:rFonts w:cs="Calibri" w:asciiTheme="minorHAnsi" w:hAnsiTheme="minorHAnsi"/>
          <w:sz w:val="28"/>
          <w:szCs w:val="28"/>
        </w:rPr>
        <w:lastRenderedPageBreak/>
        <w:t>5</w:t>
      </w:r>
      <w:r w:rsidRPr="00D634A6" w:rsidR="009C7BB7">
        <w:rPr>
          <w:rFonts w:cs="Calibri" w:asciiTheme="minorHAnsi" w:hAnsiTheme="minorHAnsi"/>
          <w:sz w:val="28"/>
          <w:szCs w:val="28"/>
        </w:rPr>
        <w:t xml:space="preserve"> Action Plan</w:t>
      </w:r>
      <w:bookmarkEnd w:id="13"/>
    </w:p>
    <w:tbl>
      <w:tblPr>
        <w:tblStyle w:val="TableGrid"/>
        <w:tblW w:w="13947" w:type="dxa"/>
        <w:tblLayout w:type="fixed"/>
        <w:tblLook w:val="04A0" w:firstRow="1" w:lastRow="0" w:firstColumn="1" w:lastColumn="0" w:noHBand="0" w:noVBand="1"/>
      </w:tblPr>
      <w:tblGrid>
        <w:gridCol w:w="2405"/>
        <w:gridCol w:w="9217"/>
        <w:gridCol w:w="2325"/>
      </w:tblGrid>
      <w:tr w:rsidRPr="00D634A6" w:rsidR="009C7BB7" w:rsidTr="00336C85" w14:paraId="107F95A8" w14:textId="77777777">
        <w:trPr>
          <w:trHeight w:val="452"/>
        </w:trPr>
        <w:tc>
          <w:tcPr>
            <w:tcW w:w="2405" w:type="dxa"/>
            <w:tcBorders>
              <w:bottom w:val="single" w:color="auto" w:sz="4" w:space="0"/>
            </w:tcBorders>
          </w:tcPr>
          <w:p w:rsidRPr="00D634A6" w:rsidR="009C7BB7" w:rsidP="00336C85" w:rsidRDefault="009C7BB7" w14:paraId="1EB9C2FC" w14:textId="77777777">
            <w:pPr>
              <w:rPr>
                <w:rFonts w:eastAsia="Calibri" w:cs="Calibri"/>
                <w:b/>
                <w:bCs/>
                <w:sz w:val="24"/>
                <w:szCs w:val="24"/>
              </w:rPr>
            </w:pPr>
            <w:r w:rsidRPr="00D634A6">
              <w:rPr>
                <w:rFonts w:eastAsia="Calibri" w:cs="Calibri"/>
                <w:b/>
                <w:bCs/>
                <w:sz w:val="24"/>
                <w:szCs w:val="24"/>
              </w:rPr>
              <w:t>Objectives</w:t>
            </w:r>
          </w:p>
        </w:tc>
        <w:tc>
          <w:tcPr>
            <w:tcW w:w="9217" w:type="dxa"/>
            <w:tcBorders>
              <w:bottom w:val="single" w:color="auto" w:sz="4" w:space="0"/>
            </w:tcBorders>
          </w:tcPr>
          <w:p w:rsidRPr="00D634A6" w:rsidR="009C7BB7" w:rsidP="00336C85" w:rsidRDefault="009C7BB7" w14:paraId="5779F884" w14:textId="77777777">
            <w:pPr>
              <w:rPr>
                <w:rFonts w:eastAsia="Calibri" w:cs="Calibri"/>
                <w:b/>
                <w:bCs/>
                <w:sz w:val="24"/>
                <w:szCs w:val="24"/>
              </w:rPr>
            </w:pPr>
            <w:r w:rsidRPr="00D634A6">
              <w:rPr>
                <w:rFonts w:eastAsia="Calibri" w:cs="Calibri"/>
                <w:b/>
                <w:bCs/>
                <w:sz w:val="24"/>
                <w:szCs w:val="24"/>
              </w:rPr>
              <w:t>Activity</w:t>
            </w:r>
          </w:p>
        </w:tc>
        <w:tc>
          <w:tcPr>
            <w:tcW w:w="2325" w:type="dxa"/>
          </w:tcPr>
          <w:p w:rsidRPr="00D634A6" w:rsidR="009C7BB7" w:rsidP="00336C85" w:rsidRDefault="009C7BB7" w14:paraId="7D3FB7EA" w14:textId="77777777">
            <w:pPr>
              <w:rPr>
                <w:rFonts w:eastAsia="Calibri" w:cs="Calibri"/>
                <w:b/>
                <w:bCs/>
                <w:sz w:val="24"/>
                <w:szCs w:val="24"/>
                <w:highlight w:val="yellow"/>
              </w:rPr>
            </w:pPr>
            <w:r w:rsidRPr="00D634A6">
              <w:rPr>
                <w:rFonts w:eastAsia="Calibri" w:cs="Calibri"/>
                <w:b/>
                <w:bCs/>
                <w:sz w:val="24"/>
                <w:szCs w:val="24"/>
              </w:rPr>
              <w:t>Timing</w:t>
            </w:r>
          </w:p>
        </w:tc>
      </w:tr>
      <w:tr w:rsidRPr="00D634A6" w:rsidR="009C7BB7" w:rsidTr="00336C85" w14:paraId="6215D17A" w14:textId="77777777">
        <w:trPr>
          <w:trHeight w:val="583"/>
        </w:trPr>
        <w:tc>
          <w:tcPr>
            <w:tcW w:w="2405" w:type="dxa"/>
            <w:tcBorders>
              <w:bottom w:val="nil"/>
            </w:tcBorders>
            <w:shd w:val="clear" w:color="auto" w:fill="E59BE7"/>
          </w:tcPr>
          <w:p w:rsidRPr="00D634A6" w:rsidR="009C7BB7" w:rsidP="00336C85" w:rsidRDefault="009C7BB7" w14:paraId="099CF513" w14:textId="0CF585A0">
            <w:pPr>
              <w:rPr>
                <w:rFonts w:eastAsia="Calibri" w:cs="Calibri"/>
                <w:b/>
                <w:bCs/>
                <w:sz w:val="24"/>
                <w:szCs w:val="24"/>
              </w:rPr>
            </w:pPr>
            <w:r>
              <w:rPr>
                <w:rFonts w:eastAsia="Calibri" w:cs="Calibri"/>
                <w:b/>
                <w:bCs/>
                <w:sz w:val="24"/>
                <w:szCs w:val="24"/>
              </w:rPr>
              <w:t>Reducing inequities in addiction and</w:t>
            </w:r>
          </w:p>
        </w:tc>
        <w:tc>
          <w:tcPr>
            <w:tcW w:w="9217" w:type="dxa"/>
          </w:tcPr>
          <w:p w:rsidRPr="00D634A6" w:rsidR="009C7BB7" w:rsidP="00336C85" w:rsidRDefault="009C7BB7" w14:paraId="65727F5D" w14:textId="08E7AD86">
            <w:pPr>
              <w:rPr>
                <w:rFonts w:eastAsia="Calibri" w:cs="Calibri"/>
                <w:sz w:val="24"/>
                <w:szCs w:val="24"/>
              </w:rPr>
            </w:pPr>
            <w:r>
              <w:rPr>
                <w:rFonts w:eastAsia="Calibri" w:cs="Calibri"/>
                <w:sz w:val="24"/>
                <w:szCs w:val="24"/>
              </w:rPr>
              <w:t>D</w:t>
            </w:r>
            <w:r w:rsidRPr="009C7BB7">
              <w:rPr>
                <w:rFonts w:eastAsia="Calibri" w:cs="Calibri"/>
                <w:sz w:val="24"/>
                <w:szCs w:val="24"/>
              </w:rPr>
              <w:t>istribut</w:t>
            </w:r>
            <w:r w:rsidR="00ED402C">
              <w:rPr>
                <w:rFonts w:eastAsia="Calibri" w:cs="Calibri"/>
                <w:sz w:val="24"/>
                <w:szCs w:val="24"/>
              </w:rPr>
              <w:t>e</w:t>
            </w:r>
            <w:r w:rsidRPr="009C7BB7">
              <w:rPr>
                <w:rFonts w:eastAsia="Calibri" w:cs="Calibri"/>
                <w:sz w:val="24"/>
                <w:szCs w:val="24"/>
              </w:rPr>
              <w:t xml:space="preserve"> and promot</w:t>
            </w:r>
            <w:r w:rsidR="00ED402C">
              <w:rPr>
                <w:rFonts w:eastAsia="Calibri" w:cs="Calibri"/>
                <w:sz w:val="24"/>
                <w:szCs w:val="24"/>
              </w:rPr>
              <w:t>e</w:t>
            </w:r>
            <w:r w:rsidRPr="009C7BB7">
              <w:rPr>
                <w:rFonts w:eastAsia="Calibri" w:cs="Calibri"/>
                <w:sz w:val="24"/>
                <w:szCs w:val="24"/>
              </w:rPr>
              <w:t xml:space="preserve"> EDIA toolkits to members of CAMHR</w:t>
            </w:r>
          </w:p>
        </w:tc>
        <w:tc>
          <w:tcPr>
            <w:tcW w:w="2325" w:type="dxa"/>
          </w:tcPr>
          <w:p w:rsidRPr="00D634A6" w:rsidR="009C7BB7" w:rsidP="00336C85" w:rsidRDefault="009C7BB7" w14:paraId="748D0C17" w14:textId="77777777">
            <w:pPr>
              <w:rPr>
                <w:rFonts w:eastAsia="Calibri" w:cs="Calibri"/>
                <w:sz w:val="24"/>
                <w:szCs w:val="24"/>
              </w:rPr>
            </w:pPr>
            <w:r w:rsidRPr="00D634A6">
              <w:rPr>
                <w:rFonts w:eastAsia="Calibri" w:cs="Calibri"/>
                <w:sz w:val="24"/>
                <w:szCs w:val="24"/>
              </w:rPr>
              <w:t>2024/2025</w:t>
            </w:r>
          </w:p>
        </w:tc>
      </w:tr>
      <w:tr w:rsidRPr="00D634A6" w:rsidR="009C7BB7" w:rsidTr="00336C85" w14:paraId="04BCA9FC" w14:textId="77777777">
        <w:trPr>
          <w:trHeight w:val="279"/>
        </w:trPr>
        <w:tc>
          <w:tcPr>
            <w:tcW w:w="2405" w:type="dxa"/>
            <w:tcBorders>
              <w:top w:val="nil"/>
              <w:bottom w:val="nil"/>
            </w:tcBorders>
            <w:shd w:val="clear" w:color="auto" w:fill="E59BE7"/>
          </w:tcPr>
          <w:p w:rsidRPr="00D634A6" w:rsidR="009C7BB7" w:rsidP="00336C85" w:rsidRDefault="009C7BB7" w14:paraId="7A1230B9" w14:textId="6FA2E869">
            <w:pPr>
              <w:rPr>
                <w:rFonts w:eastAsia="Calibri" w:cs="Calibri"/>
                <w:b/>
                <w:bCs/>
                <w:sz w:val="24"/>
                <w:szCs w:val="24"/>
              </w:rPr>
            </w:pPr>
            <w:r>
              <w:rPr>
                <w:rFonts w:eastAsia="Calibri" w:cs="Calibri"/>
                <w:b/>
                <w:bCs/>
                <w:sz w:val="24"/>
                <w:szCs w:val="24"/>
              </w:rPr>
              <w:t>mental health research</w:t>
            </w:r>
          </w:p>
        </w:tc>
        <w:tc>
          <w:tcPr>
            <w:tcW w:w="9217" w:type="dxa"/>
          </w:tcPr>
          <w:p w:rsidRPr="00D634A6" w:rsidR="009C7BB7" w:rsidP="00336C85" w:rsidRDefault="00ED402C" w14:paraId="26E42FA1" w14:textId="34EBE72E">
            <w:pPr>
              <w:rPr>
                <w:rFonts w:eastAsia="Calibri" w:cs="Calibri"/>
                <w:sz w:val="24"/>
                <w:szCs w:val="24"/>
              </w:rPr>
            </w:pPr>
            <w:r>
              <w:rPr>
                <w:rFonts w:eastAsia="Calibri" w:cs="Calibri"/>
                <w:sz w:val="24"/>
                <w:szCs w:val="24"/>
              </w:rPr>
              <w:t xml:space="preserve">All CAMHR team members to have completed mandatory </w:t>
            </w:r>
            <w:r w:rsidR="00060F89">
              <w:rPr>
                <w:rFonts w:eastAsia="Calibri" w:cs="Calibri"/>
                <w:sz w:val="24"/>
                <w:szCs w:val="24"/>
              </w:rPr>
              <w:t xml:space="preserve">EDI </w:t>
            </w:r>
            <w:r>
              <w:rPr>
                <w:rFonts w:eastAsia="Calibri" w:cs="Calibri"/>
                <w:sz w:val="24"/>
                <w:szCs w:val="24"/>
              </w:rPr>
              <w:t>training</w:t>
            </w:r>
          </w:p>
        </w:tc>
        <w:tc>
          <w:tcPr>
            <w:tcW w:w="2325" w:type="dxa"/>
          </w:tcPr>
          <w:p w:rsidRPr="00D634A6" w:rsidR="009C7BB7" w:rsidP="00336C85" w:rsidRDefault="009C7BB7" w14:paraId="1B04083C" w14:textId="77777777">
            <w:pPr>
              <w:rPr>
                <w:rFonts w:eastAsia="Calibri" w:cs="Calibri"/>
                <w:sz w:val="24"/>
                <w:szCs w:val="24"/>
              </w:rPr>
            </w:pPr>
            <w:r w:rsidRPr="00D634A6">
              <w:rPr>
                <w:rFonts w:eastAsia="Calibri" w:cs="Calibri"/>
                <w:sz w:val="24"/>
                <w:szCs w:val="24"/>
              </w:rPr>
              <w:t>2024/2025</w:t>
            </w:r>
          </w:p>
        </w:tc>
      </w:tr>
      <w:tr w:rsidRPr="00D634A6" w:rsidR="009C7BB7" w:rsidTr="00336C85" w14:paraId="01D43623" w14:textId="77777777">
        <w:trPr>
          <w:trHeight w:val="560"/>
        </w:trPr>
        <w:tc>
          <w:tcPr>
            <w:tcW w:w="2405" w:type="dxa"/>
            <w:tcBorders>
              <w:top w:val="nil"/>
              <w:bottom w:val="nil"/>
            </w:tcBorders>
            <w:shd w:val="clear" w:color="auto" w:fill="E59BE7"/>
          </w:tcPr>
          <w:p w:rsidRPr="00D634A6" w:rsidR="009C7BB7" w:rsidP="00336C85" w:rsidRDefault="009C7BB7" w14:paraId="54D1E743" w14:textId="77777777">
            <w:pPr>
              <w:rPr>
                <w:rFonts w:eastAsia="Calibri" w:cs="Calibri"/>
                <w:sz w:val="24"/>
                <w:szCs w:val="24"/>
              </w:rPr>
            </w:pPr>
          </w:p>
        </w:tc>
        <w:tc>
          <w:tcPr>
            <w:tcW w:w="9217" w:type="dxa"/>
          </w:tcPr>
          <w:p w:rsidRPr="00D634A6" w:rsidR="009C7BB7" w:rsidP="00336C85" w:rsidRDefault="00ED402C" w14:paraId="13A1D075" w14:textId="1E7FEAB5">
            <w:pPr>
              <w:rPr>
                <w:rFonts w:eastAsia="Calibri" w:cs="Calibri"/>
                <w:sz w:val="24"/>
                <w:szCs w:val="24"/>
              </w:rPr>
            </w:pPr>
            <w:r>
              <w:rPr>
                <w:rFonts w:eastAsia="Calibri" w:cs="Calibri"/>
                <w:sz w:val="24"/>
                <w:szCs w:val="24"/>
              </w:rPr>
              <w:t>Regular liaison with CAMHR PPIE coordinator</w:t>
            </w:r>
            <w:r w:rsidR="00AC3D10">
              <w:rPr>
                <w:rFonts w:eastAsia="Calibri" w:cs="Calibri"/>
                <w:sz w:val="24"/>
                <w:szCs w:val="24"/>
              </w:rPr>
              <w:t>s and theme leads</w:t>
            </w:r>
            <w:r w:rsidRPr="009C7BB7" w:rsidR="009C7BB7">
              <w:rPr>
                <w:rFonts w:eastAsia="Calibri" w:cs="Calibri"/>
                <w:sz w:val="24"/>
                <w:szCs w:val="24"/>
              </w:rPr>
              <w:t xml:space="preserve"> to ensure</w:t>
            </w:r>
            <w:r w:rsidR="00826D80">
              <w:rPr>
                <w:rFonts w:eastAsia="Calibri" w:cs="Calibri"/>
                <w:sz w:val="24"/>
                <w:szCs w:val="24"/>
              </w:rPr>
              <w:t xml:space="preserve"> ongoing</w:t>
            </w:r>
            <w:r w:rsidRPr="009C7BB7" w:rsidR="009C7BB7">
              <w:rPr>
                <w:rFonts w:eastAsia="Calibri" w:cs="Calibri"/>
                <w:sz w:val="24"/>
                <w:szCs w:val="24"/>
              </w:rPr>
              <w:t xml:space="preserve"> integration </w:t>
            </w:r>
            <w:r>
              <w:rPr>
                <w:rFonts w:eastAsia="Calibri" w:cs="Calibri"/>
                <w:sz w:val="24"/>
                <w:szCs w:val="24"/>
              </w:rPr>
              <w:t>of EDIA objectives into</w:t>
            </w:r>
            <w:r w:rsidRPr="009C7BB7" w:rsidR="009C7BB7">
              <w:rPr>
                <w:rFonts w:eastAsia="Calibri" w:cs="Calibri"/>
                <w:sz w:val="24"/>
                <w:szCs w:val="24"/>
              </w:rPr>
              <w:t xml:space="preserve"> </w:t>
            </w:r>
            <w:r w:rsidR="00AC3D10">
              <w:rPr>
                <w:rFonts w:eastAsia="Calibri" w:cs="Calibri"/>
                <w:sz w:val="24"/>
                <w:szCs w:val="24"/>
              </w:rPr>
              <w:t>PPIE</w:t>
            </w:r>
            <w:r w:rsidRPr="009C7BB7" w:rsidR="009C7BB7">
              <w:rPr>
                <w:rFonts w:eastAsia="Calibri" w:cs="Calibri"/>
                <w:sz w:val="24"/>
                <w:szCs w:val="24"/>
              </w:rPr>
              <w:t xml:space="preserve"> goals and activities</w:t>
            </w:r>
          </w:p>
        </w:tc>
        <w:tc>
          <w:tcPr>
            <w:tcW w:w="2325" w:type="dxa"/>
          </w:tcPr>
          <w:p w:rsidRPr="00D634A6" w:rsidR="009C7BB7" w:rsidP="00336C85" w:rsidRDefault="00F7772B" w14:paraId="41C6C72F" w14:textId="71494E6C">
            <w:pPr>
              <w:rPr>
                <w:rFonts w:eastAsia="Calibri" w:cs="Calibri"/>
                <w:sz w:val="24"/>
                <w:szCs w:val="24"/>
              </w:rPr>
            </w:pPr>
            <w:r>
              <w:rPr>
                <w:rFonts w:eastAsia="Calibri" w:cs="Calibri"/>
                <w:sz w:val="24"/>
                <w:szCs w:val="24"/>
              </w:rPr>
              <w:t>ongoing</w:t>
            </w:r>
          </w:p>
        </w:tc>
      </w:tr>
      <w:tr w:rsidRPr="00D634A6" w:rsidR="009C7BB7" w:rsidTr="00336C85" w14:paraId="09AEDED0" w14:textId="77777777">
        <w:trPr>
          <w:trHeight w:val="840"/>
        </w:trPr>
        <w:tc>
          <w:tcPr>
            <w:tcW w:w="2405" w:type="dxa"/>
            <w:tcBorders>
              <w:top w:val="nil"/>
              <w:bottom w:val="nil"/>
            </w:tcBorders>
            <w:shd w:val="clear" w:color="auto" w:fill="E59BE7"/>
          </w:tcPr>
          <w:p w:rsidRPr="00D634A6" w:rsidR="009C7BB7" w:rsidP="00336C85" w:rsidRDefault="009C7BB7" w14:paraId="452D8AF2" w14:textId="77777777">
            <w:pPr>
              <w:rPr>
                <w:rFonts w:eastAsia="Calibri" w:cs="Calibri"/>
                <w:sz w:val="24"/>
                <w:szCs w:val="24"/>
              </w:rPr>
            </w:pPr>
          </w:p>
        </w:tc>
        <w:tc>
          <w:tcPr>
            <w:tcW w:w="9217" w:type="dxa"/>
          </w:tcPr>
          <w:p w:rsidRPr="00D634A6" w:rsidR="009C7BB7" w:rsidP="00336C85" w:rsidRDefault="00CD6294" w14:paraId="7F384286" w14:textId="63BA7603">
            <w:pPr>
              <w:rPr>
                <w:rFonts w:eastAsia="Calibri" w:cs="Calibri"/>
                <w:sz w:val="24"/>
                <w:szCs w:val="24"/>
              </w:rPr>
            </w:pPr>
            <w:r>
              <w:rPr>
                <w:rFonts w:eastAsia="Calibri" w:cs="Calibri"/>
                <w:sz w:val="24"/>
                <w:szCs w:val="24"/>
              </w:rPr>
              <w:t>E</w:t>
            </w:r>
            <w:r w:rsidR="00ED402C">
              <w:rPr>
                <w:rFonts w:eastAsia="Calibri" w:cs="Calibri"/>
                <w:sz w:val="24"/>
                <w:szCs w:val="24"/>
              </w:rPr>
              <w:t xml:space="preserve">ngagement with underserved populations </w:t>
            </w:r>
            <w:r>
              <w:rPr>
                <w:rFonts w:eastAsia="Calibri" w:cs="Calibri"/>
                <w:sz w:val="24"/>
                <w:szCs w:val="24"/>
              </w:rPr>
              <w:t xml:space="preserve">logged </w:t>
            </w:r>
            <w:r w:rsidR="00ED402C">
              <w:rPr>
                <w:rFonts w:eastAsia="Calibri" w:cs="Calibri"/>
                <w:sz w:val="24"/>
                <w:szCs w:val="24"/>
              </w:rPr>
              <w:t>from the engagement tracker</w:t>
            </w:r>
            <w:r w:rsidR="008968C6">
              <w:rPr>
                <w:rFonts w:eastAsia="Calibri" w:cs="Calibri"/>
                <w:sz w:val="24"/>
                <w:szCs w:val="24"/>
              </w:rPr>
              <w:t>, with challenges and success noted</w:t>
            </w:r>
          </w:p>
        </w:tc>
        <w:tc>
          <w:tcPr>
            <w:tcW w:w="2325" w:type="dxa"/>
          </w:tcPr>
          <w:p w:rsidRPr="00D634A6" w:rsidR="009C7BB7" w:rsidP="00336C85" w:rsidRDefault="005D7690" w14:paraId="2C5D1301" w14:textId="572647E2">
            <w:pPr>
              <w:rPr>
                <w:rFonts w:eastAsia="Calibri" w:cs="Calibri"/>
                <w:sz w:val="24"/>
                <w:szCs w:val="24"/>
              </w:rPr>
            </w:pPr>
            <w:r>
              <w:rPr>
                <w:rFonts w:eastAsia="Calibri" w:cs="Calibri"/>
                <w:sz w:val="24"/>
                <w:szCs w:val="24"/>
              </w:rPr>
              <w:t>ongoing</w:t>
            </w:r>
          </w:p>
        </w:tc>
      </w:tr>
      <w:tr w:rsidRPr="00D634A6" w:rsidR="009C7BB7" w:rsidTr="00336C85" w14:paraId="6146C2D2" w14:textId="77777777">
        <w:trPr>
          <w:trHeight w:val="854"/>
        </w:trPr>
        <w:tc>
          <w:tcPr>
            <w:tcW w:w="2405" w:type="dxa"/>
            <w:tcBorders>
              <w:top w:val="nil"/>
              <w:bottom w:val="nil"/>
            </w:tcBorders>
            <w:shd w:val="clear" w:color="auto" w:fill="E59BE7"/>
          </w:tcPr>
          <w:p w:rsidRPr="00D634A6" w:rsidR="009C7BB7" w:rsidP="00336C85" w:rsidRDefault="009C7BB7" w14:paraId="14A6960D" w14:textId="77777777">
            <w:pPr>
              <w:rPr>
                <w:rFonts w:eastAsia="Calibri" w:cs="Calibri"/>
                <w:sz w:val="24"/>
                <w:szCs w:val="24"/>
              </w:rPr>
            </w:pPr>
          </w:p>
        </w:tc>
        <w:tc>
          <w:tcPr>
            <w:tcW w:w="9217" w:type="dxa"/>
          </w:tcPr>
          <w:p w:rsidRPr="00D634A6" w:rsidR="009C7BB7" w:rsidP="00336C85" w:rsidRDefault="00ED402C" w14:paraId="55D724F2" w14:textId="55E8054B">
            <w:pPr>
              <w:rPr>
                <w:rFonts w:eastAsia="Calibri" w:cs="Calibri"/>
                <w:sz w:val="24"/>
                <w:szCs w:val="24"/>
              </w:rPr>
            </w:pPr>
            <w:r>
              <w:rPr>
                <w:rFonts w:eastAsia="Calibri" w:cs="Calibri"/>
                <w:sz w:val="24"/>
                <w:szCs w:val="24"/>
              </w:rPr>
              <w:t>Attend one EDI conference/training event each year</w:t>
            </w:r>
          </w:p>
        </w:tc>
        <w:tc>
          <w:tcPr>
            <w:tcW w:w="2325" w:type="dxa"/>
          </w:tcPr>
          <w:p w:rsidRPr="00D634A6" w:rsidR="009C7BB7" w:rsidP="00336C85" w:rsidRDefault="005D7690" w14:paraId="39B148E8" w14:textId="38448013">
            <w:pPr>
              <w:rPr>
                <w:rFonts w:eastAsia="Calibri" w:cs="Calibri"/>
                <w:sz w:val="24"/>
                <w:szCs w:val="24"/>
              </w:rPr>
            </w:pPr>
            <w:r>
              <w:rPr>
                <w:rFonts w:eastAsia="Calibri" w:cs="Calibri"/>
                <w:sz w:val="24"/>
                <w:szCs w:val="24"/>
              </w:rPr>
              <w:t>ongoing</w:t>
            </w:r>
          </w:p>
        </w:tc>
      </w:tr>
      <w:tr w:rsidRPr="00D634A6" w:rsidR="009C7BB7" w:rsidTr="00336C85" w14:paraId="138E2118" w14:textId="77777777">
        <w:trPr>
          <w:trHeight w:val="840"/>
        </w:trPr>
        <w:tc>
          <w:tcPr>
            <w:tcW w:w="2405" w:type="dxa"/>
            <w:tcBorders>
              <w:top w:val="single" w:color="auto" w:sz="4" w:space="0"/>
              <w:bottom w:val="nil"/>
            </w:tcBorders>
            <w:shd w:val="clear" w:color="auto" w:fill="F1A983" w:themeFill="accent2" w:themeFillTint="99"/>
          </w:tcPr>
          <w:p w:rsidRPr="00D634A6" w:rsidR="009C7BB7" w:rsidP="00336C85" w:rsidRDefault="00826D80" w14:paraId="6A27ED94" w14:textId="2D2679F2">
            <w:pPr>
              <w:rPr>
                <w:rFonts w:eastAsia="Calibri" w:cs="Calibri"/>
                <w:b/>
                <w:bCs/>
                <w:sz w:val="24"/>
                <w:szCs w:val="24"/>
              </w:rPr>
            </w:pPr>
            <w:r>
              <w:rPr>
                <w:rFonts w:eastAsia="Calibri" w:cs="Calibri"/>
                <w:b/>
                <w:bCs/>
                <w:sz w:val="24"/>
                <w:szCs w:val="24"/>
              </w:rPr>
              <w:t>Promote diversity in leadership and research teams</w:t>
            </w:r>
          </w:p>
        </w:tc>
        <w:tc>
          <w:tcPr>
            <w:tcW w:w="9217" w:type="dxa"/>
          </w:tcPr>
          <w:p w:rsidRPr="00D634A6" w:rsidR="009C7BB7" w:rsidP="00336C85" w:rsidRDefault="00826D80" w14:paraId="18D24493" w14:textId="3E8076DD">
            <w:pPr>
              <w:rPr>
                <w:rFonts w:eastAsia="Calibri" w:cs="Calibri"/>
                <w:sz w:val="24"/>
                <w:szCs w:val="24"/>
              </w:rPr>
            </w:pPr>
            <w:r>
              <w:rPr>
                <w:rFonts w:eastAsia="Calibri" w:cs="Calibri"/>
                <w:sz w:val="24"/>
                <w:szCs w:val="24"/>
              </w:rPr>
              <w:t>Log skills development of Early and Mid-Career Researchers via Individual Training Needs Tracker</w:t>
            </w:r>
          </w:p>
        </w:tc>
        <w:tc>
          <w:tcPr>
            <w:tcW w:w="2325" w:type="dxa"/>
          </w:tcPr>
          <w:p w:rsidRPr="00D634A6" w:rsidR="009C7BB7" w:rsidP="00336C85" w:rsidRDefault="005D7690" w14:paraId="559D6DE7" w14:textId="33D8198F">
            <w:pPr>
              <w:rPr>
                <w:rFonts w:eastAsia="Calibri" w:cs="Calibri"/>
                <w:sz w:val="24"/>
                <w:szCs w:val="24"/>
              </w:rPr>
            </w:pPr>
            <w:r>
              <w:rPr>
                <w:rFonts w:eastAsia="Calibri" w:cs="Calibri"/>
                <w:sz w:val="24"/>
                <w:szCs w:val="24"/>
              </w:rPr>
              <w:t>ongoing</w:t>
            </w:r>
          </w:p>
        </w:tc>
      </w:tr>
      <w:tr w:rsidRPr="00D634A6" w:rsidR="009C7BB7" w:rsidTr="00336C85" w14:paraId="0E457186" w14:textId="77777777">
        <w:trPr>
          <w:trHeight w:val="1134"/>
        </w:trPr>
        <w:tc>
          <w:tcPr>
            <w:tcW w:w="2405" w:type="dxa"/>
            <w:tcBorders>
              <w:top w:val="nil"/>
              <w:bottom w:val="single" w:color="auto" w:sz="4" w:space="0"/>
            </w:tcBorders>
            <w:shd w:val="clear" w:color="auto" w:fill="F1A983" w:themeFill="accent2" w:themeFillTint="99"/>
          </w:tcPr>
          <w:p w:rsidRPr="00D634A6" w:rsidR="009C7BB7" w:rsidP="00336C85" w:rsidRDefault="009C7BB7" w14:paraId="4E9857F4" w14:textId="77777777">
            <w:pPr>
              <w:rPr>
                <w:rFonts w:eastAsia="Calibri" w:cs="Calibri"/>
                <w:sz w:val="24"/>
                <w:szCs w:val="24"/>
              </w:rPr>
            </w:pPr>
          </w:p>
        </w:tc>
        <w:tc>
          <w:tcPr>
            <w:tcW w:w="9217" w:type="dxa"/>
            <w:tcBorders>
              <w:bottom w:val="single" w:color="auto" w:sz="4" w:space="0"/>
            </w:tcBorders>
          </w:tcPr>
          <w:p w:rsidRPr="00D634A6" w:rsidR="009C7BB7" w:rsidP="00336C85" w:rsidRDefault="00826D80" w14:paraId="45731B5C" w14:textId="6C8444C0">
            <w:pPr>
              <w:rPr>
                <w:rFonts w:eastAsia="Calibri" w:cs="Calibri"/>
                <w:sz w:val="24"/>
                <w:szCs w:val="24"/>
              </w:rPr>
            </w:pPr>
            <w:r>
              <w:rPr>
                <w:rFonts w:eastAsia="Calibri" w:cs="Calibri"/>
                <w:sz w:val="24"/>
                <w:szCs w:val="24"/>
              </w:rPr>
              <w:t>Facilitate access to NIHR Academy for Early Career Researchers (PhDs &amp; post-doctoral associates/fellows)</w:t>
            </w:r>
          </w:p>
        </w:tc>
        <w:tc>
          <w:tcPr>
            <w:tcW w:w="2325" w:type="dxa"/>
          </w:tcPr>
          <w:p w:rsidRPr="00D634A6" w:rsidR="009C7BB7" w:rsidP="00336C85" w:rsidRDefault="009C7BB7" w14:paraId="6BED6B97" w14:textId="77777777">
            <w:pPr>
              <w:rPr>
                <w:rFonts w:eastAsia="Calibri" w:cs="Calibri"/>
                <w:sz w:val="24"/>
                <w:szCs w:val="24"/>
              </w:rPr>
            </w:pPr>
            <w:r w:rsidRPr="00D634A6">
              <w:rPr>
                <w:rFonts w:eastAsia="Calibri" w:cs="Calibri"/>
                <w:sz w:val="24"/>
                <w:szCs w:val="24"/>
              </w:rPr>
              <w:t>2024/2025</w:t>
            </w:r>
          </w:p>
        </w:tc>
      </w:tr>
      <w:tr w:rsidRPr="00D634A6" w:rsidR="009C7BB7" w:rsidTr="00336C85" w14:paraId="2C60FE90" w14:textId="77777777">
        <w:trPr>
          <w:trHeight w:val="560"/>
        </w:trPr>
        <w:tc>
          <w:tcPr>
            <w:tcW w:w="2405" w:type="dxa"/>
            <w:tcBorders>
              <w:top w:val="single" w:color="auto" w:sz="4" w:space="0"/>
              <w:bottom w:val="nil"/>
            </w:tcBorders>
            <w:shd w:val="clear" w:color="auto" w:fill="60CAF3" w:themeFill="accent4" w:themeFillTint="99"/>
          </w:tcPr>
          <w:p w:rsidRPr="00D634A6" w:rsidR="009C7BB7" w:rsidP="00336C85" w:rsidRDefault="0026150B" w14:paraId="1920EA4A" w14:textId="568B50E3">
            <w:pPr>
              <w:rPr>
                <w:rFonts w:eastAsia="Calibri" w:cs="Calibri"/>
                <w:b/>
                <w:bCs/>
                <w:sz w:val="24"/>
                <w:szCs w:val="24"/>
              </w:rPr>
            </w:pPr>
            <w:r>
              <w:rPr>
                <w:rFonts w:eastAsia="Calibri" w:cs="Calibri"/>
                <w:b/>
                <w:bCs/>
                <w:sz w:val="24"/>
                <w:szCs w:val="24"/>
              </w:rPr>
              <w:t xml:space="preserve">Create a collaborative and </w:t>
            </w:r>
            <w:r w:rsidR="008D5760">
              <w:rPr>
                <w:rFonts w:eastAsia="Calibri" w:cs="Calibri"/>
                <w:b/>
                <w:bCs/>
                <w:sz w:val="24"/>
                <w:szCs w:val="24"/>
              </w:rPr>
              <w:t>equitable research culture</w:t>
            </w:r>
          </w:p>
        </w:tc>
        <w:tc>
          <w:tcPr>
            <w:tcW w:w="9217" w:type="dxa"/>
          </w:tcPr>
          <w:p w:rsidRPr="00D634A6" w:rsidR="009C7BB7" w:rsidP="00336C85" w:rsidRDefault="005161ED" w14:paraId="1EC8CCBC" w14:textId="088A68AD">
            <w:pPr>
              <w:rPr>
                <w:rFonts w:eastAsia="Calibri" w:cs="Calibri"/>
                <w:sz w:val="24"/>
                <w:szCs w:val="24"/>
              </w:rPr>
            </w:pPr>
            <w:r>
              <w:rPr>
                <w:rFonts w:eastAsia="Calibri" w:cs="Calibri"/>
                <w:sz w:val="24"/>
                <w:szCs w:val="24"/>
              </w:rPr>
              <w:t>Hold weekly CAMHR team lunch</w:t>
            </w:r>
          </w:p>
        </w:tc>
        <w:tc>
          <w:tcPr>
            <w:tcW w:w="2325" w:type="dxa"/>
          </w:tcPr>
          <w:p w:rsidRPr="00D634A6" w:rsidR="009C7BB7" w:rsidP="00336C85" w:rsidRDefault="005D7690" w14:paraId="18631673" w14:textId="264EDEA1">
            <w:pPr>
              <w:rPr>
                <w:rFonts w:eastAsia="Calibri" w:cs="Calibri"/>
                <w:sz w:val="24"/>
                <w:szCs w:val="24"/>
              </w:rPr>
            </w:pPr>
            <w:r>
              <w:rPr>
                <w:rFonts w:eastAsia="Calibri" w:cs="Calibri"/>
                <w:sz w:val="24"/>
                <w:szCs w:val="24"/>
              </w:rPr>
              <w:t>ongoing</w:t>
            </w:r>
          </w:p>
        </w:tc>
      </w:tr>
      <w:tr w:rsidRPr="00D634A6" w:rsidR="009C7BB7" w:rsidTr="00336C85" w14:paraId="36AD7E01" w14:textId="77777777">
        <w:trPr>
          <w:trHeight w:val="560"/>
        </w:trPr>
        <w:tc>
          <w:tcPr>
            <w:tcW w:w="2405" w:type="dxa"/>
            <w:tcBorders>
              <w:top w:val="nil"/>
              <w:bottom w:val="nil"/>
            </w:tcBorders>
            <w:shd w:val="clear" w:color="auto" w:fill="60CAF3" w:themeFill="accent4" w:themeFillTint="99"/>
          </w:tcPr>
          <w:p w:rsidRPr="00D634A6" w:rsidR="009C7BB7" w:rsidP="00336C85" w:rsidRDefault="009C7BB7" w14:paraId="2012AA6A" w14:textId="4E6CCE65">
            <w:pPr>
              <w:rPr>
                <w:rFonts w:eastAsia="Calibri" w:cs="Calibri"/>
                <w:b/>
                <w:bCs/>
                <w:sz w:val="24"/>
                <w:szCs w:val="24"/>
              </w:rPr>
            </w:pPr>
          </w:p>
        </w:tc>
        <w:tc>
          <w:tcPr>
            <w:tcW w:w="9217" w:type="dxa"/>
          </w:tcPr>
          <w:p w:rsidRPr="00D634A6" w:rsidR="009C7BB7" w:rsidP="00336C85" w:rsidRDefault="00295CF7" w14:paraId="07205EA8" w14:textId="5C071F14">
            <w:pPr>
              <w:rPr>
                <w:rFonts w:eastAsia="Calibri" w:cs="Calibri"/>
                <w:sz w:val="24"/>
                <w:szCs w:val="24"/>
              </w:rPr>
            </w:pPr>
            <w:r>
              <w:rPr>
                <w:rFonts w:eastAsia="Calibri" w:cs="Calibri"/>
                <w:sz w:val="24"/>
                <w:szCs w:val="24"/>
              </w:rPr>
              <w:t>Circulate CAMHR publication policy</w:t>
            </w:r>
          </w:p>
        </w:tc>
        <w:tc>
          <w:tcPr>
            <w:tcW w:w="2325" w:type="dxa"/>
          </w:tcPr>
          <w:p w:rsidRPr="00D634A6" w:rsidR="009C7BB7" w:rsidP="00336C85" w:rsidRDefault="009C7BB7" w14:paraId="7FDC04B5" w14:textId="77777777">
            <w:pPr>
              <w:rPr>
                <w:rFonts w:eastAsia="Calibri" w:cs="Calibri"/>
                <w:sz w:val="24"/>
                <w:szCs w:val="24"/>
              </w:rPr>
            </w:pPr>
            <w:r w:rsidRPr="00D634A6">
              <w:rPr>
                <w:rFonts w:eastAsia="Calibri" w:cs="Calibri"/>
                <w:sz w:val="24"/>
                <w:szCs w:val="24"/>
              </w:rPr>
              <w:t>2024/2025</w:t>
            </w:r>
          </w:p>
        </w:tc>
      </w:tr>
      <w:tr w:rsidRPr="00D634A6" w:rsidR="007A6B95" w:rsidTr="00336C85" w14:paraId="0522ACBE" w14:textId="77777777">
        <w:trPr>
          <w:trHeight w:val="560"/>
        </w:trPr>
        <w:tc>
          <w:tcPr>
            <w:tcW w:w="2405" w:type="dxa"/>
            <w:tcBorders>
              <w:top w:val="nil"/>
              <w:bottom w:val="nil"/>
            </w:tcBorders>
            <w:shd w:val="clear" w:color="auto" w:fill="60CAF3" w:themeFill="accent4" w:themeFillTint="99"/>
          </w:tcPr>
          <w:p w:rsidRPr="00D634A6" w:rsidR="007A6B95" w:rsidP="00336C85" w:rsidRDefault="007A6B95" w14:paraId="1A2EC167" w14:textId="77777777">
            <w:pPr>
              <w:rPr>
                <w:rFonts w:eastAsia="Calibri" w:cs="Calibri"/>
                <w:b/>
                <w:bCs/>
                <w:sz w:val="24"/>
                <w:szCs w:val="24"/>
              </w:rPr>
            </w:pPr>
          </w:p>
        </w:tc>
        <w:tc>
          <w:tcPr>
            <w:tcW w:w="9217" w:type="dxa"/>
          </w:tcPr>
          <w:p w:rsidR="007A6B95" w:rsidP="00336C85" w:rsidRDefault="007A6B95" w14:paraId="0EBE4298" w14:textId="6B17D0D1">
            <w:pPr>
              <w:rPr>
                <w:rFonts w:eastAsia="Calibri" w:cs="Calibri"/>
                <w:sz w:val="24"/>
                <w:szCs w:val="24"/>
              </w:rPr>
            </w:pPr>
            <w:r>
              <w:rPr>
                <w:rFonts w:eastAsia="Calibri" w:cs="Calibri"/>
                <w:sz w:val="24"/>
                <w:szCs w:val="24"/>
              </w:rPr>
              <w:t xml:space="preserve">Integrate EDIA considerations into </w:t>
            </w:r>
            <w:r w:rsidR="00F7772B">
              <w:rPr>
                <w:rFonts w:eastAsia="Calibri" w:cs="Calibri"/>
                <w:sz w:val="24"/>
                <w:szCs w:val="24"/>
              </w:rPr>
              <w:t>procedures for recruiting young person interns</w:t>
            </w:r>
          </w:p>
        </w:tc>
        <w:tc>
          <w:tcPr>
            <w:tcW w:w="2325" w:type="dxa"/>
          </w:tcPr>
          <w:p w:rsidRPr="00D634A6" w:rsidR="007A6B95" w:rsidP="00336C85" w:rsidRDefault="005D7690" w14:paraId="340D8135" w14:textId="53367E30">
            <w:pPr>
              <w:rPr>
                <w:rFonts w:eastAsia="Calibri" w:cs="Calibri"/>
                <w:sz w:val="24"/>
                <w:szCs w:val="24"/>
              </w:rPr>
            </w:pPr>
            <w:r>
              <w:rPr>
                <w:rFonts w:eastAsia="Calibri" w:cs="Calibri"/>
                <w:sz w:val="24"/>
                <w:szCs w:val="24"/>
              </w:rPr>
              <w:t>202</w:t>
            </w:r>
            <w:r w:rsidR="008202C2">
              <w:rPr>
                <w:rFonts w:eastAsia="Calibri" w:cs="Calibri"/>
                <w:sz w:val="24"/>
                <w:szCs w:val="24"/>
              </w:rPr>
              <w:t>4</w:t>
            </w:r>
            <w:r>
              <w:rPr>
                <w:rFonts w:eastAsia="Calibri" w:cs="Calibri"/>
                <w:sz w:val="24"/>
                <w:szCs w:val="24"/>
              </w:rPr>
              <w:t>/2025</w:t>
            </w:r>
          </w:p>
        </w:tc>
      </w:tr>
      <w:tr w:rsidRPr="00D634A6" w:rsidR="009C7BB7" w:rsidTr="00336C85" w14:paraId="7C33CE01" w14:textId="77777777">
        <w:trPr>
          <w:trHeight w:val="560"/>
        </w:trPr>
        <w:tc>
          <w:tcPr>
            <w:tcW w:w="2405" w:type="dxa"/>
            <w:tcBorders>
              <w:top w:val="nil"/>
              <w:bottom w:val="single" w:color="auto" w:sz="4" w:space="0"/>
            </w:tcBorders>
            <w:shd w:val="clear" w:color="auto" w:fill="60CAF3" w:themeFill="accent4" w:themeFillTint="99"/>
          </w:tcPr>
          <w:p w:rsidRPr="00D634A6" w:rsidR="009C7BB7" w:rsidP="00336C85" w:rsidRDefault="009C7BB7" w14:paraId="38C7B5B8" w14:textId="77777777">
            <w:pPr>
              <w:rPr>
                <w:rFonts w:eastAsia="Calibri" w:cs="Calibri"/>
                <w:sz w:val="24"/>
                <w:szCs w:val="24"/>
              </w:rPr>
            </w:pPr>
          </w:p>
        </w:tc>
        <w:tc>
          <w:tcPr>
            <w:tcW w:w="9217" w:type="dxa"/>
            <w:tcBorders>
              <w:bottom w:val="single" w:color="auto" w:sz="4" w:space="0"/>
            </w:tcBorders>
          </w:tcPr>
          <w:p w:rsidRPr="00D634A6" w:rsidR="009C7BB7" w:rsidP="00336C85" w:rsidRDefault="007230D8" w14:paraId="60932703" w14:textId="4C07BAC6">
            <w:pPr>
              <w:rPr>
                <w:rFonts w:eastAsia="Calibri" w:cs="Calibri"/>
                <w:sz w:val="24"/>
                <w:szCs w:val="24"/>
              </w:rPr>
            </w:pPr>
            <w:r>
              <w:rPr>
                <w:rFonts w:eastAsia="Calibri" w:cs="Calibri"/>
                <w:sz w:val="24"/>
                <w:szCs w:val="24"/>
              </w:rPr>
              <w:t xml:space="preserve">Periodic check-in with young people interns to </w:t>
            </w:r>
            <w:r w:rsidR="00B80675">
              <w:rPr>
                <w:rFonts w:eastAsia="Calibri" w:cs="Calibri"/>
                <w:sz w:val="24"/>
                <w:szCs w:val="24"/>
              </w:rPr>
              <w:t>take stock of and address any</w:t>
            </w:r>
            <w:r>
              <w:rPr>
                <w:rFonts w:eastAsia="Calibri" w:cs="Calibri"/>
                <w:sz w:val="24"/>
                <w:szCs w:val="24"/>
              </w:rPr>
              <w:t xml:space="preserve"> EDIA needs</w:t>
            </w:r>
          </w:p>
        </w:tc>
        <w:tc>
          <w:tcPr>
            <w:tcW w:w="2325" w:type="dxa"/>
          </w:tcPr>
          <w:p w:rsidRPr="00D634A6" w:rsidR="009C7BB7" w:rsidP="00336C85" w:rsidRDefault="005D7690" w14:paraId="084C8FC3" w14:textId="100B723D">
            <w:pPr>
              <w:rPr>
                <w:rFonts w:eastAsia="Calibri" w:cs="Calibri"/>
                <w:sz w:val="24"/>
                <w:szCs w:val="24"/>
              </w:rPr>
            </w:pPr>
            <w:r>
              <w:rPr>
                <w:rFonts w:eastAsia="Calibri" w:cs="Calibri"/>
                <w:sz w:val="24"/>
                <w:szCs w:val="24"/>
              </w:rPr>
              <w:t>Ongoing</w:t>
            </w:r>
          </w:p>
        </w:tc>
      </w:tr>
      <w:tr w:rsidRPr="00D634A6" w:rsidR="00D62B44" w:rsidTr="00336C85" w14:paraId="17EC980B" w14:textId="77777777">
        <w:trPr>
          <w:trHeight w:val="560"/>
        </w:trPr>
        <w:tc>
          <w:tcPr>
            <w:tcW w:w="2405" w:type="dxa"/>
            <w:tcBorders>
              <w:top w:val="nil"/>
              <w:bottom w:val="single" w:color="auto" w:sz="4" w:space="0"/>
            </w:tcBorders>
            <w:shd w:val="clear" w:color="auto" w:fill="60CAF3" w:themeFill="accent4" w:themeFillTint="99"/>
          </w:tcPr>
          <w:p w:rsidRPr="00D634A6" w:rsidR="00D62B44" w:rsidP="00336C85" w:rsidRDefault="00D62B44" w14:paraId="08DFFCFE" w14:textId="77777777">
            <w:pPr>
              <w:rPr>
                <w:rFonts w:eastAsia="Calibri" w:cs="Calibri"/>
                <w:sz w:val="24"/>
                <w:szCs w:val="24"/>
              </w:rPr>
            </w:pPr>
          </w:p>
        </w:tc>
        <w:tc>
          <w:tcPr>
            <w:tcW w:w="9217" w:type="dxa"/>
            <w:tcBorders>
              <w:bottom w:val="single" w:color="auto" w:sz="4" w:space="0"/>
            </w:tcBorders>
          </w:tcPr>
          <w:p w:rsidR="00D62B44" w:rsidP="00336C85" w:rsidRDefault="00094816" w14:paraId="13F94530" w14:textId="28BBD607">
            <w:pPr>
              <w:rPr>
                <w:rFonts w:eastAsia="Calibri" w:cs="Calibri"/>
                <w:sz w:val="24"/>
                <w:szCs w:val="24"/>
              </w:rPr>
            </w:pPr>
            <w:r>
              <w:rPr>
                <w:rFonts w:eastAsia="Calibri" w:cs="Calibri"/>
                <w:sz w:val="24"/>
                <w:szCs w:val="24"/>
              </w:rPr>
              <w:t xml:space="preserve">Logging </w:t>
            </w:r>
            <w:r w:rsidR="00131B03">
              <w:rPr>
                <w:rFonts w:eastAsia="Calibri" w:cs="Calibri"/>
                <w:sz w:val="24"/>
                <w:szCs w:val="24"/>
              </w:rPr>
              <w:t>advi</w:t>
            </w:r>
            <w:r w:rsidR="00A24EBA">
              <w:rPr>
                <w:rFonts w:eastAsia="Calibri" w:cs="Calibri"/>
                <w:sz w:val="24"/>
                <w:szCs w:val="24"/>
              </w:rPr>
              <w:t>sing on</w:t>
            </w:r>
            <w:r w:rsidR="00131B03">
              <w:rPr>
                <w:rFonts w:eastAsia="Calibri" w:cs="Calibri"/>
                <w:sz w:val="24"/>
                <w:szCs w:val="24"/>
              </w:rPr>
              <w:t xml:space="preserve"> and reviewing </w:t>
            </w:r>
            <w:r w:rsidR="00A50595">
              <w:rPr>
                <w:rFonts w:eastAsia="Calibri" w:cs="Calibri"/>
                <w:sz w:val="24"/>
                <w:szCs w:val="24"/>
              </w:rPr>
              <w:t xml:space="preserve">of </w:t>
            </w:r>
            <w:r>
              <w:rPr>
                <w:rFonts w:eastAsia="Calibri" w:cs="Calibri"/>
                <w:sz w:val="24"/>
                <w:szCs w:val="24"/>
              </w:rPr>
              <w:t>n</w:t>
            </w:r>
            <w:r w:rsidR="009C4A20">
              <w:rPr>
                <w:rFonts w:eastAsia="Calibri" w:cs="Calibri"/>
                <w:sz w:val="24"/>
                <w:szCs w:val="24"/>
              </w:rPr>
              <w:t>ew funding applications from CAMHR team</w:t>
            </w:r>
            <w:r w:rsidR="00D62B44">
              <w:rPr>
                <w:rFonts w:eastAsia="Calibri" w:cs="Calibri"/>
                <w:sz w:val="24"/>
                <w:szCs w:val="24"/>
              </w:rPr>
              <w:t xml:space="preserve"> </w:t>
            </w:r>
            <w:r w:rsidR="00A24EBA">
              <w:rPr>
                <w:rFonts w:eastAsia="Calibri" w:cs="Calibri"/>
                <w:sz w:val="24"/>
                <w:szCs w:val="24"/>
              </w:rPr>
              <w:t>in terms of EDI content and budget</w:t>
            </w:r>
            <w:r>
              <w:rPr>
                <w:rFonts w:eastAsia="Calibri" w:cs="Calibri"/>
                <w:sz w:val="24"/>
                <w:szCs w:val="24"/>
              </w:rPr>
              <w:t xml:space="preserve"> </w:t>
            </w:r>
          </w:p>
        </w:tc>
        <w:tc>
          <w:tcPr>
            <w:tcW w:w="2325" w:type="dxa"/>
          </w:tcPr>
          <w:p w:rsidRPr="00D634A6" w:rsidR="00D62B44" w:rsidP="00336C85" w:rsidRDefault="00A50595" w14:paraId="5CDFFCA8" w14:textId="4CEB4D24">
            <w:pPr>
              <w:rPr>
                <w:rFonts w:eastAsia="Calibri" w:cs="Calibri"/>
                <w:sz w:val="24"/>
                <w:szCs w:val="24"/>
              </w:rPr>
            </w:pPr>
            <w:r>
              <w:rPr>
                <w:rFonts w:eastAsia="Calibri" w:cs="Calibri"/>
                <w:sz w:val="24"/>
                <w:szCs w:val="24"/>
              </w:rPr>
              <w:t>Ongoing</w:t>
            </w:r>
          </w:p>
        </w:tc>
      </w:tr>
      <w:tr w:rsidRPr="00D634A6" w:rsidR="009C7BB7" w:rsidTr="00336C85" w14:paraId="034B4A7C" w14:textId="77777777">
        <w:trPr>
          <w:trHeight w:val="840"/>
        </w:trPr>
        <w:tc>
          <w:tcPr>
            <w:tcW w:w="2405" w:type="dxa"/>
            <w:tcBorders>
              <w:top w:val="single" w:color="auto" w:sz="4" w:space="0"/>
              <w:bottom w:val="nil"/>
            </w:tcBorders>
            <w:shd w:val="clear" w:color="auto" w:fill="F286C1"/>
          </w:tcPr>
          <w:p w:rsidRPr="00D634A6" w:rsidR="009C7BB7" w:rsidP="00336C85" w:rsidRDefault="009A5E12" w14:paraId="6A72F5F8" w14:textId="44CBB802">
            <w:pPr>
              <w:rPr>
                <w:rFonts w:eastAsia="Calibri" w:cs="Calibri"/>
                <w:b/>
                <w:bCs/>
                <w:sz w:val="24"/>
                <w:szCs w:val="24"/>
              </w:rPr>
            </w:pPr>
            <w:r>
              <w:rPr>
                <w:rFonts w:eastAsia="Calibri" w:cs="Calibri"/>
                <w:b/>
                <w:bCs/>
                <w:sz w:val="24"/>
                <w:szCs w:val="24"/>
              </w:rPr>
              <w:t>Provide an accessible and inclusive research environment</w:t>
            </w:r>
          </w:p>
        </w:tc>
        <w:tc>
          <w:tcPr>
            <w:tcW w:w="9217" w:type="dxa"/>
          </w:tcPr>
          <w:p w:rsidRPr="00D634A6" w:rsidR="009C7BB7" w:rsidP="00336C85" w:rsidRDefault="00506410" w14:paraId="575323CD" w14:textId="5B881AE2">
            <w:pPr>
              <w:rPr>
                <w:rFonts w:eastAsia="Calibri" w:cs="Calibri"/>
                <w:sz w:val="24"/>
                <w:szCs w:val="24"/>
              </w:rPr>
            </w:pPr>
            <w:r>
              <w:rPr>
                <w:rFonts w:eastAsia="Calibri" w:cs="Calibri"/>
                <w:sz w:val="24"/>
                <w:szCs w:val="24"/>
              </w:rPr>
              <w:t xml:space="preserve">Distribute </w:t>
            </w:r>
            <w:r w:rsidR="0023698A">
              <w:rPr>
                <w:rFonts w:eastAsia="Calibri" w:cs="Calibri"/>
                <w:sz w:val="24"/>
                <w:szCs w:val="24"/>
              </w:rPr>
              <w:t xml:space="preserve">accessibility </w:t>
            </w:r>
            <w:r w:rsidR="00BE18D4">
              <w:rPr>
                <w:rFonts w:eastAsia="Calibri" w:cs="Calibri"/>
                <w:sz w:val="24"/>
                <w:szCs w:val="24"/>
              </w:rPr>
              <w:t>checklists</w:t>
            </w:r>
            <w:r w:rsidR="00D9443A">
              <w:rPr>
                <w:rFonts w:eastAsia="Calibri" w:cs="Calibri"/>
                <w:sz w:val="24"/>
                <w:szCs w:val="24"/>
              </w:rPr>
              <w:t xml:space="preserve"> for event organisers around CAMHR team</w:t>
            </w:r>
          </w:p>
        </w:tc>
        <w:tc>
          <w:tcPr>
            <w:tcW w:w="2325" w:type="dxa"/>
          </w:tcPr>
          <w:p w:rsidRPr="00D634A6" w:rsidR="009C7BB7" w:rsidP="00336C85" w:rsidRDefault="009C7BB7" w14:paraId="2B916137" w14:textId="77777777">
            <w:pPr>
              <w:rPr>
                <w:rFonts w:eastAsia="Calibri" w:cs="Calibri"/>
                <w:sz w:val="24"/>
                <w:szCs w:val="24"/>
              </w:rPr>
            </w:pPr>
            <w:r w:rsidRPr="00D634A6">
              <w:rPr>
                <w:rFonts w:eastAsia="Calibri" w:cs="Calibri"/>
                <w:sz w:val="24"/>
                <w:szCs w:val="24"/>
              </w:rPr>
              <w:t>2024/2025</w:t>
            </w:r>
          </w:p>
        </w:tc>
      </w:tr>
      <w:tr w:rsidRPr="00D634A6" w:rsidR="009C7BB7" w:rsidTr="00336C85" w14:paraId="43F36B98" w14:textId="77777777">
        <w:trPr>
          <w:trHeight w:val="560"/>
        </w:trPr>
        <w:tc>
          <w:tcPr>
            <w:tcW w:w="2405" w:type="dxa"/>
            <w:tcBorders>
              <w:top w:val="nil"/>
              <w:bottom w:val="nil"/>
            </w:tcBorders>
            <w:shd w:val="clear" w:color="auto" w:fill="F286C1"/>
          </w:tcPr>
          <w:p w:rsidRPr="00D634A6" w:rsidR="009C7BB7" w:rsidP="00336C85" w:rsidRDefault="009C7BB7" w14:paraId="7A751FCE" w14:textId="77777777">
            <w:pPr>
              <w:rPr>
                <w:rFonts w:eastAsia="Calibri" w:cs="Calibri"/>
                <w:sz w:val="24"/>
                <w:szCs w:val="24"/>
              </w:rPr>
            </w:pPr>
          </w:p>
        </w:tc>
        <w:tc>
          <w:tcPr>
            <w:tcW w:w="9217" w:type="dxa"/>
          </w:tcPr>
          <w:p w:rsidRPr="00D634A6" w:rsidR="009C7BB7" w:rsidP="00336C85" w:rsidRDefault="00310FC5" w14:paraId="7A521AD8" w14:textId="2A00CAE4">
            <w:pPr>
              <w:rPr>
                <w:rFonts w:eastAsia="Calibri" w:cs="Calibri"/>
                <w:sz w:val="24"/>
                <w:szCs w:val="24"/>
              </w:rPr>
            </w:pPr>
            <w:r>
              <w:rPr>
                <w:rFonts w:eastAsia="Calibri" w:cs="Calibri"/>
                <w:sz w:val="24"/>
                <w:szCs w:val="24"/>
              </w:rPr>
              <w:t>Incorporate EDIA guid</w:t>
            </w:r>
            <w:r w:rsidR="008415C7">
              <w:rPr>
                <w:rFonts w:eastAsia="Calibri" w:cs="Calibri"/>
                <w:sz w:val="24"/>
                <w:szCs w:val="24"/>
              </w:rPr>
              <w:t>ance</w:t>
            </w:r>
            <w:r>
              <w:rPr>
                <w:rFonts w:eastAsia="Calibri" w:cs="Calibri"/>
                <w:sz w:val="24"/>
                <w:szCs w:val="24"/>
              </w:rPr>
              <w:t xml:space="preserve"> into guidelines for </w:t>
            </w:r>
            <w:r w:rsidR="007B0E08">
              <w:rPr>
                <w:rFonts w:eastAsia="Calibri" w:cs="Calibri"/>
                <w:sz w:val="24"/>
                <w:szCs w:val="24"/>
              </w:rPr>
              <w:t>holding PPIE events</w:t>
            </w:r>
          </w:p>
        </w:tc>
        <w:tc>
          <w:tcPr>
            <w:tcW w:w="2325" w:type="dxa"/>
          </w:tcPr>
          <w:p w:rsidRPr="00D634A6" w:rsidR="009C7BB7" w:rsidP="00336C85" w:rsidRDefault="00993496" w14:paraId="3ADCCEB9" w14:textId="17232B49">
            <w:pPr>
              <w:rPr>
                <w:rFonts w:eastAsia="Calibri" w:cs="Calibri"/>
                <w:sz w:val="24"/>
                <w:szCs w:val="24"/>
              </w:rPr>
            </w:pPr>
            <w:r>
              <w:rPr>
                <w:rFonts w:eastAsia="Calibri" w:cs="Calibri"/>
                <w:sz w:val="24"/>
                <w:szCs w:val="24"/>
              </w:rPr>
              <w:t>2024/2025</w:t>
            </w:r>
          </w:p>
        </w:tc>
      </w:tr>
      <w:tr w:rsidRPr="00D634A6" w:rsidR="009C7BB7" w:rsidTr="00336C85" w14:paraId="32305FEA" w14:textId="77777777">
        <w:trPr>
          <w:trHeight w:val="840"/>
        </w:trPr>
        <w:tc>
          <w:tcPr>
            <w:tcW w:w="2405" w:type="dxa"/>
            <w:tcBorders>
              <w:top w:val="nil"/>
              <w:bottom w:val="single" w:color="auto" w:sz="4" w:space="0"/>
            </w:tcBorders>
            <w:shd w:val="clear" w:color="auto" w:fill="F286C1"/>
          </w:tcPr>
          <w:p w:rsidRPr="00D634A6" w:rsidR="009C7BB7" w:rsidP="00336C85" w:rsidRDefault="009C7BB7" w14:paraId="6C737EA2" w14:textId="77777777">
            <w:pPr>
              <w:rPr>
                <w:rFonts w:eastAsia="Calibri" w:cs="Calibri"/>
                <w:sz w:val="24"/>
                <w:szCs w:val="24"/>
              </w:rPr>
            </w:pPr>
          </w:p>
        </w:tc>
        <w:tc>
          <w:tcPr>
            <w:tcW w:w="9217" w:type="dxa"/>
            <w:tcBorders>
              <w:bottom w:val="single" w:color="auto" w:sz="4" w:space="0"/>
            </w:tcBorders>
          </w:tcPr>
          <w:p w:rsidRPr="00D634A6" w:rsidR="009C7BB7" w:rsidP="00336C85" w:rsidRDefault="00FB45FB" w14:paraId="25CDF395" w14:textId="346D536E">
            <w:pPr>
              <w:rPr>
                <w:rFonts w:eastAsia="Calibri" w:cs="Calibri"/>
                <w:sz w:val="24"/>
                <w:szCs w:val="24"/>
              </w:rPr>
            </w:pPr>
            <w:r>
              <w:rPr>
                <w:rFonts w:eastAsia="Calibri" w:cs="Calibri"/>
                <w:sz w:val="24"/>
                <w:szCs w:val="24"/>
              </w:rPr>
              <w:t>Distribute guidance on producing accessible documents to CAMHR team</w:t>
            </w:r>
          </w:p>
        </w:tc>
        <w:tc>
          <w:tcPr>
            <w:tcW w:w="2325" w:type="dxa"/>
          </w:tcPr>
          <w:p w:rsidRPr="00D634A6" w:rsidR="009C7BB7" w:rsidP="00336C85" w:rsidRDefault="009C7BB7" w14:paraId="69064FCD" w14:textId="77777777">
            <w:pPr>
              <w:rPr>
                <w:rFonts w:eastAsia="Calibri" w:cs="Calibri"/>
                <w:sz w:val="24"/>
                <w:szCs w:val="24"/>
              </w:rPr>
            </w:pPr>
            <w:r w:rsidRPr="00D634A6">
              <w:rPr>
                <w:rFonts w:eastAsia="Calibri" w:cs="Calibri"/>
                <w:sz w:val="24"/>
                <w:szCs w:val="24"/>
              </w:rPr>
              <w:t>2024/2025</w:t>
            </w:r>
          </w:p>
        </w:tc>
      </w:tr>
      <w:tr w:rsidRPr="00D634A6" w:rsidR="009C7BB7" w:rsidTr="005876E1" w14:paraId="08AABD02" w14:textId="77777777">
        <w:trPr>
          <w:trHeight w:val="560"/>
        </w:trPr>
        <w:tc>
          <w:tcPr>
            <w:tcW w:w="2405" w:type="dxa"/>
            <w:tcBorders>
              <w:top w:val="single" w:color="auto" w:sz="4" w:space="0"/>
              <w:bottom w:val="nil"/>
            </w:tcBorders>
            <w:shd w:val="clear" w:color="auto" w:fill="8DD873" w:themeFill="accent6" w:themeFillTint="99"/>
          </w:tcPr>
          <w:p w:rsidRPr="00D634A6" w:rsidR="009C7BB7" w:rsidP="00336C85" w:rsidRDefault="009C7BB7" w14:paraId="04DC51D4" w14:textId="22B99A8C">
            <w:pPr>
              <w:rPr>
                <w:rFonts w:eastAsia="Calibri" w:cs="Calibri"/>
                <w:b/>
                <w:bCs/>
                <w:sz w:val="24"/>
                <w:szCs w:val="24"/>
              </w:rPr>
            </w:pPr>
            <w:r w:rsidRPr="00D634A6">
              <w:rPr>
                <w:rFonts w:eastAsia="Calibri" w:cs="Calibri"/>
                <w:b/>
                <w:bCs/>
                <w:sz w:val="24"/>
                <w:szCs w:val="24"/>
              </w:rPr>
              <w:t>Impact</w:t>
            </w:r>
            <w:r w:rsidR="00864567">
              <w:rPr>
                <w:rFonts w:eastAsia="Calibri" w:cs="Calibri"/>
                <w:b/>
                <w:bCs/>
                <w:sz w:val="24"/>
                <w:szCs w:val="24"/>
              </w:rPr>
              <w:t xml:space="preserve"> </w:t>
            </w:r>
            <w:r w:rsidR="005554DF">
              <w:rPr>
                <w:rFonts w:eastAsia="Calibri" w:cs="Calibri"/>
                <w:b/>
                <w:bCs/>
                <w:sz w:val="24"/>
                <w:szCs w:val="24"/>
              </w:rPr>
              <w:t>&amp; Governance</w:t>
            </w:r>
          </w:p>
        </w:tc>
        <w:tc>
          <w:tcPr>
            <w:tcW w:w="9217" w:type="dxa"/>
          </w:tcPr>
          <w:p w:rsidRPr="00D634A6" w:rsidR="009C7BB7" w:rsidP="00336C85" w:rsidRDefault="00E80693" w14:paraId="133BDFE0" w14:textId="19F014A3">
            <w:pPr>
              <w:rPr>
                <w:rFonts w:eastAsia="Calibri" w:cs="Calibri"/>
                <w:sz w:val="24"/>
                <w:szCs w:val="24"/>
              </w:rPr>
            </w:pPr>
            <w:r>
              <w:rPr>
                <w:rFonts w:eastAsia="Calibri" w:cs="Calibri"/>
                <w:sz w:val="24"/>
                <w:szCs w:val="24"/>
              </w:rPr>
              <w:t>Review progress on EDIA objectives at monthly team meetings</w:t>
            </w:r>
          </w:p>
        </w:tc>
        <w:tc>
          <w:tcPr>
            <w:tcW w:w="2325" w:type="dxa"/>
          </w:tcPr>
          <w:p w:rsidRPr="00D634A6" w:rsidR="009C7BB7" w:rsidP="00336C85" w:rsidRDefault="003B2E17" w14:paraId="7B084E24" w14:textId="148C4587">
            <w:pPr>
              <w:rPr>
                <w:rFonts w:eastAsia="Calibri" w:cs="Calibri"/>
                <w:sz w:val="24"/>
                <w:szCs w:val="24"/>
              </w:rPr>
            </w:pPr>
            <w:r>
              <w:rPr>
                <w:rFonts w:eastAsia="Calibri" w:cs="Calibri"/>
                <w:sz w:val="24"/>
                <w:szCs w:val="24"/>
              </w:rPr>
              <w:t>Ongoing</w:t>
            </w:r>
          </w:p>
        </w:tc>
      </w:tr>
      <w:tr w:rsidRPr="00D634A6" w:rsidR="009C7BB7" w:rsidTr="005876E1" w14:paraId="511D265F" w14:textId="77777777">
        <w:trPr>
          <w:trHeight w:val="560"/>
        </w:trPr>
        <w:tc>
          <w:tcPr>
            <w:tcW w:w="2405" w:type="dxa"/>
            <w:tcBorders>
              <w:top w:val="nil"/>
              <w:bottom w:val="nil"/>
            </w:tcBorders>
            <w:shd w:val="clear" w:color="auto" w:fill="8DD873" w:themeFill="accent6" w:themeFillTint="99"/>
          </w:tcPr>
          <w:p w:rsidRPr="00D634A6" w:rsidR="009C7BB7" w:rsidP="00336C85" w:rsidRDefault="009C7BB7" w14:paraId="1921A802" w14:textId="77777777">
            <w:pPr>
              <w:rPr>
                <w:rFonts w:eastAsia="Calibri" w:cs="Calibri"/>
                <w:sz w:val="24"/>
                <w:szCs w:val="24"/>
              </w:rPr>
            </w:pPr>
          </w:p>
        </w:tc>
        <w:tc>
          <w:tcPr>
            <w:tcW w:w="9217" w:type="dxa"/>
          </w:tcPr>
          <w:p w:rsidRPr="00D634A6" w:rsidR="009C7BB7" w:rsidP="00336C85" w:rsidRDefault="00E80693" w14:paraId="3B3703A2" w14:textId="070B0AD7">
            <w:pPr>
              <w:rPr>
                <w:rFonts w:eastAsia="Calibri" w:cs="Calibri"/>
                <w:sz w:val="24"/>
                <w:szCs w:val="24"/>
              </w:rPr>
            </w:pPr>
            <w:r>
              <w:rPr>
                <w:rFonts w:eastAsia="Calibri" w:cs="Calibri"/>
                <w:sz w:val="24"/>
                <w:szCs w:val="24"/>
              </w:rPr>
              <w:t xml:space="preserve">Produce 6-monthly </w:t>
            </w:r>
            <w:r w:rsidR="00387C3E">
              <w:rPr>
                <w:rFonts w:eastAsia="Calibri" w:cs="Calibri"/>
                <w:sz w:val="24"/>
                <w:szCs w:val="24"/>
              </w:rPr>
              <w:t xml:space="preserve">brief </w:t>
            </w:r>
            <w:r>
              <w:rPr>
                <w:rFonts w:eastAsia="Calibri" w:cs="Calibri"/>
                <w:sz w:val="24"/>
                <w:szCs w:val="24"/>
              </w:rPr>
              <w:t>report</w:t>
            </w:r>
            <w:r w:rsidR="00387C3E">
              <w:rPr>
                <w:rFonts w:eastAsia="Calibri" w:cs="Calibri"/>
                <w:sz w:val="24"/>
                <w:szCs w:val="24"/>
              </w:rPr>
              <w:t xml:space="preserve"> with key metrics and updates</w:t>
            </w:r>
            <w:r>
              <w:rPr>
                <w:rFonts w:eastAsia="Calibri" w:cs="Calibri"/>
                <w:sz w:val="24"/>
                <w:szCs w:val="24"/>
              </w:rPr>
              <w:t xml:space="preserve"> </w:t>
            </w:r>
            <w:r w:rsidRPr="00D634A6" w:rsidR="00333E25">
              <w:rPr>
                <w:rFonts w:eastAsia="Calibri" w:cs="Calibri"/>
                <w:sz w:val="24"/>
                <w:szCs w:val="24"/>
              </w:rPr>
              <w:t>to monitor progress</w:t>
            </w:r>
            <w:r w:rsidR="002C7F4A">
              <w:rPr>
                <w:rFonts w:eastAsia="Calibri" w:cs="Calibri"/>
                <w:sz w:val="24"/>
                <w:szCs w:val="24"/>
              </w:rPr>
              <w:t xml:space="preserve"> </w:t>
            </w:r>
            <w:r w:rsidR="003B1B5E">
              <w:rPr>
                <w:rFonts w:eastAsia="Calibri" w:cs="Calibri"/>
                <w:sz w:val="24"/>
                <w:szCs w:val="24"/>
              </w:rPr>
              <w:t>and collate</w:t>
            </w:r>
            <w:r w:rsidR="002C7F4A">
              <w:rPr>
                <w:rFonts w:eastAsia="Calibri" w:cs="Calibri"/>
                <w:sz w:val="24"/>
                <w:szCs w:val="24"/>
              </w:rPr>
              <w:t xml:space="preserve"> learning</w:t>
            </w:r>
            <w:r w:rsidR="00952646">
              <w:rPr>
                <w:rFonts w:eastAsia="Calibri" w:cs="Calibri"/>
                <w:sz w:val="24"/>
                <w:szCs w:val="24"/>
              </w:rPr>
              <w:t xml:space="preserve"> that can be applied going forward</w:t>
            </w:r>
          </w:p>
        </w:tc>
        <w:tc>
          <w:tcPr>
            <w:tcW w:w="2325" w:type="dxa"/>
          </w:tcPr>
          <w:p w:rsidRPr="00D634A6" w:rsidR="009C7BB7" w:rsidP="00336C85" w:rsidRDefault="009C7BB7" w14:paraId="48932C73" w14:textId="77777777">
            <w:pPr>
              <w:rPr>
                <w:rFonts w:eastAsia="Calibri" w:cs="Calibri"/>
                <w:sz w:val="24"/>
                <w:szCs w:val="24"/>
              </w:rPr>
            </w:pPr>
            <w:r w:rsidRPr="00D634A6">
              <w:rPr>
                <w:rFonts w:eastAsia="Calibri" w:cs="Calibri"/>
                <w:sz w:val="24"/>
                <w:szCs w:val="24"/>
              </w:rPr>
              <w:t>Ongoing</w:t>
            </w:r>
          </w:p>
        </w:tc>
      </w:tr>
      <w:tr w:rsidRPr="00D634A6" w:rsidR="009C7BB7" w:rsidTr="005876E1" w14:paraId="09EF4BE8" w14:textId="77777777">
        <w:trPr>
          <w:trHeight w:val="560"/>
        </w:trPr>
        <w:tc>
          <w:tcPr>
            <w:tcW w:w="2405" w:type="dxa"/>
            <w:tcBorders>
              <w:top w:val="nil"/>
              <w:bottom w:val="single" w:color="auto" w:sz="4" w:space="0"/>
            </w:tcBorders>
            <w:shd w:val="clear" w:color="auto" w:fill="8DD873" w:themeFill="accent6" w:themeFillTint="99"/>
          </w:tcPr>
          <w:p w:rsidRPr="00D634A6" w:rsidR="009C7BB7" w:rsidP="00336C85" w:rsidRDefault="009C7BB7" w14:paraId="6655E83F" w14:textId="77777777">
            <w:pPr>
              <w:rPr>
                <w:rFonts w:eastAsia="Calibri" w:cs="Calibri"/>
                <w:sz w:val="24"/>
                <w:szCs w:val="24"/>
              </w:rPr>
            </w:pPr>
          </w:p>
        </w:tc>
        <w:tc>
          <w:tcPr>
            <w:tcW w:w="9217" w:type="dxa"/>
            <w:tcBorders>
              <w:bottom w:val="single" w:color="auto" w:sz="4" w:space="0"/>
            </w:tcBorders>
          </w:tcPr>
          <w:p w:rsidRPr="00D634A6" w:rsidR="009C7BB7" w:rsidP="00336C85" w:rsidRDefault="009C7BB7" w14:paraId="08BB9BA5" w14:textId="35CC30DB">
            <w:pPr>
              <w:rPr>
                <w:rFonts w:eastAsia="Calibri" w:cs="Calibri"/>
                <w:sz w:val="24"/>
                <w:szCs w:val="24"/>
              </w:rPr>
            </w:pPr>
            <w:r w:rsidRPr="00D634A6">
              <w:rPr>
                <w:rFonts w:eastAsia="Calibri" w:cs="Calibri"/>
                <w:sz w:val="24"/>
                <w:szCs w:val="24"/>
              </w:rPr>
              <w:t xml:space="preserve">Share best practice at events with other </w:t>
            </w:r>
            <w:r w:rsidR="001601D6">
              <w:rPr>
                <w:rFonts w:eastAsia="Calibri" w:cs="Calibri"/>
                <w:sz w:val="24"/>
                <w:szCs w:val="24"/>
              </w:rPr>
              <w:t>EDI</w:t>
            </w:r>
            <w:r w:rsidRPr="00D634A6">
              <w:rPr>
                <w:rFonts w:eastAsia="Calibri" w:cs="Calibri"/>
                <w:sz w:val="24"/>
                <w:szCs w:val="24"/>
              </w:rPr>
              <w:t xml:space="preserve"> Co-ordinators and stakeholders</w:t>
            </w:r>
          </w:p>
        </w:tc>
        <w:tc>
          <w:tcPr>
            <w:tcW w:w="2325" w:type="dxa"/>
          </w:tcPr>
          <w:p w:rsidRPr="00D634A6" w:rsidR="009C7BB7" w:rsidP="00336C85" w:rsidRDefault="009C7BB7" w14:paraId="204ECBDB" w14:textId="77777777">
            <w:pPr>
              <w:rPr>
                <w:rFonts w:eastAsia="Calibri" w:cs="Calibri"/>
                <w:sz w:val="24"/>
                <w:szCs w:val="24"/>
              </w:rPr>
            </w:pPr>
            <w:r w:rsidRPr="00D634A6">
              <w:rPr>
                <w:rFonts w:eastAsia="Calibri" w:cs="Calibri"/>
                <w:sz w:val="24"/>
                <w:szCs w:val="24"/>
              </w:rPr>
              <w:t>Ongoing</w:t>
            </w:r>
          </w:p>
        </w:tc>
      </w:tr>
    </w:tbl>
    <w:p w:rsidRPr="00D634A6" w:rsidR="009C7BB7" w:rsidP="009C7BB7" w:rsidRDefault="009C7BB7" w14:paraId="6C31D02F" w14:textId="77777777">
      <w:pPr>
        <w:rPr>
          <w:rFonts w:eastAsia="Calibri" w:cs="Calibri"/>
          <w:color w:val="156082" w:themeColor="accent1"/>
          <w:sz w:val="24"/>
          <w:szCs w:val="24"/>
        </w:rPr>
        <w:sectPr w:rsidRPr="00D634A6" w:rsidR="009C7BB7" w:rsidSect="009C7BB7">
          <w:pgSz w:w="16838" w:h="11906" w:orient="landscape"/>
          <w:pgMar w:top="1440" w:right="1440" w:bottom="1440" w:left="1440" w:header="709" w:footer="709" w:gutter="0"/>
          <w:cols w:space="708"/>
          <w:docGrid w:linePitch="360"/>
        </w:sectPr>
      </w:pPr>
    </w:p>
    <w:p w:rsidRPr="00A0155F" w:rsidR="00CD2831" w:rsidP="00BE411B" w:rsidRDefault="00CD2831" w14:paraId="56160C85" w14:textId="6518D8B8"/>
    <w:sectPr w:rsidRPr="00A0155F" w:rsidR="00CD28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D0D1" w14:textId="77777777" w:rsidR="000A28CD" w:rsidRDefault="000A28CD" w:rsidP="00F91D02">
      <w:pPr>
        <w:spacing w:after="0" w:line="240" w:lineRule="auto"/>
      </w:pPr>
      <w:r>
        <w:separator/>
      </w:r>
    </w:p>
  </w:endnote>
  <w:endnote w:type="continuationSeparator" w:id="0">
    <w:p w14:paraId="1B879A21" w14:textId="77777777" w:rsidR="000A28CD" w:rsidRDefault="000A28CD" w:rsidP="00F91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73060059"/>
      <w:docPartObj>
        <w:docPartGallery w:val="Page Numbers (Bottom of Page)"/>
        <w:docPartUnique/>
      </w:docPartObj>
    </w:sdtPr>
    <w:sdtEndPr>
      <w:rPr>
        <w:noProof/>
      </w:rPr>
    </w:sdtEndPr>
    <w:sdtContent>
      <w:p w14:paraId="265935C9" w14:textId="3A8D26E2" w:rsidR="00746422" w:rsidRPr="00F131F7" w:rsidRDefault="00746422">
        <w:pPr>
          <w:pStyle w:val="Footer"/>
          <w:jc w:val="right"/>
          <w:rPr>
            <w:sz w:val="20"/>
            <w:szCs w:val="20"/>
          </w:rPr>
        </w:pPr>
        <w:r w:rsidRPr="00F131F7">
          <w:rPr>
            <w:sz w:val="20"/>
            <w:szCs w:val="20"/>
          </w:rPr>
          <w:fldChar w:fldCharType="begin"/>
        </w:r>
        <w:r w:rsidRPr="00F131F7">
          <w:rPr>
            <w:sz w:val="20"/>
            <w:szCs w:val="20"/>
          </w:rPr>
          <w:instrText xml:space="preserve"> PAGE   \* MERGEFORMAT </w:instrText>
        </w:r>
        <w:r w:rsidRPr="00F131F7">
          <w:rPr>
            <w:sz w:val="20"/>
            <w:szCs w:val="20"/>
          </w:rPr>
          <w:fldChar w:fldCharType="separate"/>
        </w:r>
        <w:r w:rsidRPr="00F131F7">
          <w:rPr>
            <w:noProof/>
            <w:sz w:val="20"/>
            <w:szCs w:val="20"/>
          </w:rPr>
          <w:t>2</w:t>
        </w:r>
        <w:r w:rsidRPr="00F131F7">
          <w:rPr>
            <w:noProof/>
            <w:sz w:val="20"/>
            <w:szCs w:val="20"/>
          </w:rPr>
          <w:fldChar w:fldCharType="end"/>
        </w:r>
      </w:p>
    </w:sdtContent>
  </w:sdt>
  <w:p w14:paraId="63910512" w14:textId="438492AF" w:rsidR="0019331F" w:rsidRPr="00F131F7" w:rsidRDefault="00DB396D" w:rsidP="0019331F">
    <w:pPr>
      <w:pStyle w:val="Footer"/>
      <w:rPr>
        <w:sz w:val="20"/>
        <w:szCs w:val="20"/>
      </w:rPr>
    </w:pPr>
    <w:r w:rsidRPr="00F131F7">
      <w:rPr>
        <w:sz w:val="20"/>
        <w:szCs w:val="20"/>
      </w:rPr>
      <w:fldChar w:fldCharType="begin"/>
    </w:r>
    <w:r w:rsidRPr="00F131F7">
      <w:rPr>
        <w:sz w:val="20"/>
        <w:szCs w:val="20"/>
      </w:rPr>
      <w:instrText xml:space="preserve"> FILENAME </w:instrText>
    </w:r>
    <w:r w:rsidRPr="00F131F7">
      <w:rPr>
        <w:sz w:val="20"/>
        <w:szCs w:val="20"/>
      </w:rPr>
      <w:fldChar w:fldCharType="separate"/>
    </w:r>
    <w:r w:rsidR="00DB7E27">
      <w:rPr>
        <w:noProof/>
        <w:sz w:val="20"/>
        <w:szCs w:val="20"/>
      </w:rPr>
      <w:t xml:space="preserve">CAMHR EDIA Strategy V1.0 </w:t>
    </w:r>
    <w:r w:rsidR="0069442A">
      <w:rPr>
        <w:noProof/>
        <w:sz w:val="20"/>
        <w:szCs w:val="20"/>
      </w:rPr>
      <w:t xml:space="preserve">May </w:t>
    </w:r>
    <w:r w:rsidR="00DB7E27">
      <w:rPr>
        <w:noProof/>
        <w:sz w:val="20"/>
        <w:szCs w:val="20"/>
      </w:rPr>
      <w:t>2025.docx</w:t>
    </w:r>
    <w:r w:rsidRPr="00F131F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56F3" w14:textId="77777777" w:rsidR="000A28CD" w:rsidRDefault="000A28CD" w:rsidP="00F91D02">
      <w:pPr>
        <w:spacing w:after="0" w:line="240" w:lineRule="auto"/>
      </w:pPr>
      <w:r>
        <w:separator/>
      </w:r>
    </w:p>
  </w:footnote>
  <w:footnote w:type="continuationSeparator" w:id="0">
    <w:p w14:paraId="0821C2BE" w14:textId="77777777" w:rsidR="000A28CD" w:rsidRDefault="000A28CD" w:rsidP="00F91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F869" w14:textId="2340508B" w:rsidR="00F91D02" w:rsidRDefault="00403724">
    <w:pPr>
      <w:pStyle w:val="Header"/>
    </w:pPr>
    <w:r w:rsidRPr="0025388F">
      <w:rPr>
        <w:noProof/>
      </w:rPr>
      <w:drawing>
        <wp:anchor distT="0" distB="0" distL="114300" distR="114300" simplePos="0" relativeHeight="251659264" behindDoc="1" locked="0" layoutInCell="1" allowOverlap="1" wp14:anchorId="755EA9F4" wp14:editId="7D83E17E">
          <wp:simplePos x="0" y="0"/>
          <wp:positionH relativeFrom="margin">
            <wp:posOffset>4826000</wp:posOffset>
          </wp:positionH>
          <wp:positionV relativeFrom="paragraph">
            <wp:posOffset>-256540</wp:posOffset>
          </wp:positionV>
          <wp:extent cx="1587500" cy="406400"/>
          <wp:effectExtent l="0" t="0" r="0" b="0"/>
          <wp:wrapTight wrapText="bothSides">
            <wp:wrapPolygon edited="0">
              <wp:start x="18144" y="675"/>
              <wp:lineTo x="1037" y="2025"/>
              <wp:lineTo x="346" y="2700"/>
              <wp:lineTo x="518" y="14850"/>
              <wp:lineTo x="10368" y="18900"/>
              <wp:lineTo x="15725" y="20250"/>
              <wp:lineTo x="16589" y="20250"/>
              <wp:lineTo x="20909" y="18900"/>
              <wp:lineTo x="21254" y="14175"/>
              <wp:lineTo x="20390" y="12825"/>
              <wp:lineTo x="20218" y="9450"/>
              <wp:lineTo x="18835" y="675"/>
              <wp:lineTo x="18144" y="675"/>
            </wp:wrapPolygon>
          </wp:wrapTight>
          <wp:docPr id="1482716009" name="Picture 2" descr="A logo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03088" name="Picture 2" descr="A logo with blue and orange letter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7500" cy="40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5C8"/>
    <w:multiLevelType w:val="hybridMultilevel"/>
    <w:tmpl w:val="1EEA4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C7A32"/>
    <w:multiLevelType w:val="multilevel"/>
    <w:tmpl w:val="2E7C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E7C50"/>
    <w:multiLevelType w:val="hybridMultilevel"/>
    <w:tmpl w:val="9A56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305F2"/>
    <w:multiLevelType w:val="multilevel"/>
    <w:tmpl w:val="493C1A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A85116"/>
    <w:multiLevelType w:val="multilevel"/>
    <w:tmpl w:val="493C1A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D72E24"/>
    <w:multiLevelType w:val="hybridMultilevel"/>
    <w:tmpl w:val="9B045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306AF"/>
    <w:multiLevelType w:val="multilevel"/>
    <w:tmpl w:val="083AF0D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811CBE"/>
    <w:multiLevelType w:val="multilevel"/>
    <w:tmpl w:val="A22886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B84688"/>
    <w:multiLevelType w:val="hybridMultilevel"/>
    <w:tmpl w:val="8152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22AA6"/>
    <w:multiLevelType w:val="hybridMultilevel"/>
    <w:tmpl w:val="9B44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20028"/>
    <w:multiLevelType w:val="multilevel"/>
    <w:tmpl w:val="493C1A3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5A140C4C"/>
    <w:multiLevelType w:val="hybridMultilevel"/>
    <w:tmpl w:val="D3BA4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06738"/>
    <w:multiLevelType w:val="multilevel"/>
    <w:tmpl w:val="3F48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BB6983"/>
    <w:multiLevelType w:val="multilevel"/>
    <w:tmpl w:val="47D0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50449C"/>
    <w:multiLevelType w:val="hybridMultilevel"/>
    <w:tmpl w:val="C4082050"/>
    <w:lvl w:ilvl="0" w:tplc="FB5CB00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221341"/>
    <w:multiLevelType w:val="multilevel"/>
    <w:tmpl w:val="A0766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AF1228"/>
    <w:multiLevelType w:val="hybridMultilevel"/>
    <w:tmpl w:val="895C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7167D"/>
    <w:multiLevelType w:val="hybridMultilevel"/>
    <w:tmpl w:val="A490D83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15929E2"/>
    <w:multiLevelType w:val="hybridMultilevel"/>
    <w:tmpl w:val="F898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F2199C"/>
    <w:multiLevelType w:val="multilevel"/>
    <w:tmpl w:val="CC94CE60"/>
    <w:styleLink w:val="CurrentList1"/>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74F0788B"/>
    <w:multiLevelType w:val="multilevel"/>
    <w:tmpl w:val="9C76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9F603F"/>
    <w:multiLevelType w:val="multilevel"/>
    <w:tmpl w:val="23D60A82"/>
    <w:lvl w:ilvl="0">
      <w:start w:val="3"/>
      <w:numFmt w:val="decimal"/>
      <w:lvlText w:val="%1."/>
      <w:lvlJc w:val="left"/>
      <w:pPr>
        <w:ind w:left="500" w:hanging="5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D336974"/>
    <w:multiLevelType w:val="multilevel"/>
    <w:tmpl w:val="B82A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4304880">
    <w:abstractNumId w:val="0"/>
  </w:num>
  <w:num w:numId="2" w16cid:durableId="146094106">
    <w:abstractNumId w:val="4"/>
  </w:num>
  <w:num w:numId="3" w16cid:durableId="1021928710">
    <w:abstractNumId w:val="20"/>
  </w:num>
  <w:num w:numId="4" w16cid:durableId="220944634">
    <w:abstractNumId w:val="13"/>
  </w:num>
  <w:num w:numId="5" w16cid:durableId="408313261">
    <w:abstractNumId w:val="6"/>
  </w:num>
  <w:num w:numId="6" w16cid:durableId="932200270">
    <w:abstractNumId w:val="1"/>
  </w:num>
  <w:num w:numId="7" w16cid:durableId="738360927">
    <w:abstractNumId w:val="7"/>
  </w:num>
  <w:num w:numId="8" w16cid:durableId="1394700723">
    <w:abstractNumId w:val="15"/>
  </w:num>
  <w:num w:numId="9" w16cid:durableId="879054581">
    <w:abstractNumId w:val="22"/>
  </w:num>
  <w:num w:numId="10" w16cid:durableId="433013568">
    <w:abstractNumId w:val="12"/>
  </w:num>
  <w:num w:numId="11" w16cid:durableId="2031762779">
    <w:abstractNumId w:val="8"/>
  </w:num>
  <w:num w:numId="12" w16cid:durableId="1331174140">
    <w:abstractNumId w:val="18"/>
  </w:num>
  <w:num w:numId="13" w16cid:durableId="1757356539">
    <w:abstractNumId w:val="11"/>
  </w:num>
  <w:num w:numId="14" w16cid:durableId="662317611">
    <w:abstractNumId w:val="16"/>
  </w:num>
  <w:num w:numId="15" w16cid:durableId="1872648295">
    <w:abstractNumId w:val="9"/>
  </w:num>
  <w:num w:numId="16" w16cid:durableId="2058432921">
    <w:abstractNumId w:val="14"/>
  </w:num>
  <w:num w:numId="17" w16cid:durableId="1658802827">
    <w:abstractNumId w:val="17"/>
  </w:num>
  <w:num w:numId="18" w16cid:durableId="400908788">
    <w:abstractNumId w:val="2"/>
  </w:num>
  <w:num w:numId="19" w16cid:durableId="664010869">
    <w:abstractNumId w:val="19"/>
  </w:num>
  <w:num w:numId="20" w16cid:durableId="858618185">
    <w:abstractNumId w:val="21"/>
  </w:num>
  <w:num w:numId="21" w16cid:durableId="823621568">
    <w:abstractNumId w:val="10"/>
  </w:num>
  <w:num w:numId="22" w16cid:durableId="1231891550">
    <w:abstractNumId w:val="3"/>
  </w:num>
  <w:num w:numId="23" w16cid:durableId="150105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DC"/>
    <w:rsid w:val="0000102B"/>
    <w:rsid w:val="00007538"/>
    <w:rsid w:val="0002015A"/>
    <w:rsid w:val="000319AC"/>
    <w:rsid w:val="00031D00"/>
    <w:rsid w:val="00037072"/>
    <w:rsid w:val="00041023"/>
    <w:rsid w:val="00043FF8"/>
    <w:rsid w:val="00050084"/>
    <w:rsid w:val="000520D9"/>
    <w:rsid w:val="00053B30"/>
    <w:rsid w:val="000609CD"/>
    <w:rsid w:val="00060F89"/>
    <w:rsid w:val="0006148D"/>
    <w:rsid w:val="00063E82"/>
    <w:rsid w:val="0006710E"/>
    <w:rsid w:val="000703BD"/>
    <w:rsid w:val="0007328A"/>
    <w:rsid w:val="000760E0"/>
    <w:rsid w:val="000771A9"/>
    <w:rsid w:val="00084B6B"/>
    <w:rsid w:val="000929BB"/>
    <w:rsid w:val="000947DC"/>
    <w:rsid w:val="00094816"/>
    <w:rsid w:val="000954EF"/>
    <w:rsid w:val="00096163"/>
    <w:rsid w:val="000A08B5"/>
    <w:rsid w:val="000A28CD"/>
    <w:rsid w:val="000A4FC8"/>
    <w:rsid w:val="000A7845"/>
    <w:rsid w:val="000B03AD"/>
    <w:rsid w:val="000B46B1"/>
    <w:rsid w:val="000B4CE7"/>
    <w:rsid w:val="000C2BF2"/>
    <w:rsid w:val="000C309E"/>
    <w:rsid w:val="000C3188"/>
    <w:rsid w:val="000D57A1"/>
    <w:rsid w:val="000E0014"/>
    <w:rsid w:val="000F035F"/>
    <w:rsid w:val="000F343E"/>
    <w:rsid w:val="000F4DD3"/>
    <w:rsid w:val="00112822"/>
    <w:rsid w:val="00112BA2"/>
    <w:rsid w:val="00116002"/>
    <w:rsid w:val="00124D0C"/>
    <w:rsid w:val="001250A9"/>
    <w:rsid w:val="0012742A"/>
    <w:rsid w:val="00131B03"/>
    <w:rsid w:val="00134B29"/>
    <w:rsid w:val="00135787"/>
    <w:rsid w:val="00142501"/>
    <w:rsid w:val="00142B81"/>
    <w:rsid w:val="00143A29"/>
    <w:rsid w:val="00152135"/>
    <w:rsid w:val="00152C7C"/>
    <w:rsid w:val="00156EEB"/>
    <w:rsid w:val="001601D6"/>
    <w:rsid w:val="0016109D"/>
    <w:rsid w:val="00161BC3"/>
    <w:rsid w:val="0017172E"/>
    <w:rsid w:val="0017184A"/>
    <w:rsid w:val="001727EF"/>
    <w:rsid w:val="001746ED"/>
    <w:rsid w:val="0018224F"/>
    <w:rsid w:val="00183CF0"/>
    <w:rsid w:val="001853EC"/>
    <w:rsid w:val="0019331F"/>
    <w:rsid w:val="001A215E"/>
    <w:rsid w:val="001A4D04"/>
    <w:rsid w:val="001B2F90"/>
    <w:rsid w:val="001C328F"/>
    <w:rsid w:val="001C51C9"/>
    <w:rsid w:val="001C64E8"/>
    <w:rsid w:val="001D0B89"/>
    <w:rsid w:val="001D4EFD"/>
    <w:rsid w:val="001D5238"/>
    <w:rsid w:val="001E12EF"/>
    <w:rsid w:val="001E5604"/>
    <w:rsid w:val="001E5FEE"/>
    <w:rsid w:val="001F0D2E"/>
    <w:rsid w:val="001F2F7C"/>
    <w:rsid w:val="0020471B"/>
    <w:rsid w:val="00216439"/>
    <w:rsid w:val="00217741"/>
    <w:rsid w:val="002210FE"/>
    <w:rsid w:val="002221A7"/>
    <w:rsid w:val="00223BCD"/>
    <w:rsid w:val="00230EF4"/>
    <w:rsid w:val="002319EC"/>
    <w:rsid w:val="00231FC4"/>
    <w:rsid w:val="0023698A"/>
    <w:rsid w:val="0024031A"/>
    <w:rsid w:val="002404AA"/>
    <w:rsid w:val="00244C8C"/>
    <w:rsid w:val="00246F59"/>
    <w:rsid w:val="0026150B"/>
    <w:rsid w:val="00263FC8"/>
    <w:rsid w:val="002669B8"/>
    <w:rsid w:val="002753EC"/>
    <w:rsid w:val="00276C2F"/>
    <w:rsid w:val="002869AF"/>
    <w:rsid w:val="0029574C"/>
    <w:rsid w:val="00295CF7"/>
    <w:rsid w:val="002A3999"/>
    <w:rsid w:val="002B5E9D"/>
    <w:rsid w:val="002C0B15"/>
    <w:rsid w:val="002C328B"/>
    <w:rsid w:val="002C6A8C"/>
    <w:rsid w:val="002C7F4A"/>
    <w:rsid w:val="002D1173"/>
    <w:rsid w:val="002D2485"/>
    <w:rsid w:val="002D2FA0"/>
    <w:rsid w:val="002D634F"/>
    <w:rsid w:val="002D7977"/>
    <w:rsid w:val="002E18E9"/>
    <w:rsid w:val="002E577E"/>
    <w:rsid w:val="002E5A4A"/>
    <w:rsid w:val="002F0501"/>
    <w:rsid w:val="002F0770"/>
    <w:rsid w:val="002F1386"/>
    <w:rsid w:val="002F3FF6"/>
    <w:rsid w:val="002F5202"/>
    <w:rsid w:val="002F7BC1"/>
    <w:rsid w:val="00304744"/>
    <w:rsid w:val="003070AF"/>
    <w:rsid w:val="00310FC5"/>
    <w:rsid w:val="00321584"/>
    <w:rsid w:val="00321AD5"/>
    <w:rsid w:val="003279BC"/>
    <w:rsid w:val="00327FF7"/>
    <w:rsid w:val="00330134"/>
    <w:rsid w:val="00333E25"/>
    <w:rsid w:val="00335073"/>
    <w:rsid w:val="00335AC2"/>
    <w:rsid w:val="00335E67"/>
    <w:rsid w:val="00340463"/>
    <w:rsid w:val="00352DEC"/>
    <w:rsid w:val="003651AB"/>
    <w:rsid w:val="00367A36"/>
    <w:rsid w:val="00370C81"/>
    <w:rsid w:val="00371C8F"/>
    <w:rsid w:val="00375D0D"/>
    <w:rsid w:val="00384F64"/>
    <w:rsid w:val="00385B66"/>
    <w:rsid w:val="00387C3E"/>
    <w:rsid w:val="00395292"/>
    <w:rsid w:val="003A1735"/>
    <w:rsid w:val="003A38A2"/>
    <w:rsid w:val="003B1B5E"/>
    <w:rsid w:val="003B2E17"/>
    <w:rsid w:val="003B387D"/>
    <w:rsid w:val="003B4D48"/>
    <w:rsid w:val="003C4572"/>
    <w:rsid w:val="003D1A65"/>
    <w:rsid w:val="003D32C4"/>
    <w:rsid w:val="003D4681"/>
    <w:rsid w:val="003D5A08"/>
    <w:rsid w:val="003E0F88"/>
    <w:rsid w:val="003E206F"/>
    <w:rsid w:val="003F569A"/>
    <w:rsid w:val="00400B84"/>
    <w:rsid w:val="004011CC"/>
    <w:rsid w:val="00402DAF"/>
    <w:rsid w:val="00403724"/>
    <w:rsid w:val="00403865"/>
    <w:rsid w:val="00405A0D"/>
    <w:rsid w:val="0040718B"/>
    <w:rsid w:val="004116F7"/>
    <w:rsid w:val="00415108"/>
    <w:rsid w:val="00420089"/>
    <w:rsid w:val="00420C8B"/>
    <w:rsid w:val="00423F27"/>
    <w:rsid w:val="00435510"/>
    <w:rsid w:val="00441D90"/>
    <w:rsid w:val="00444C5B"/>
    <w:rsid w:val="004533C9"/>
    <w:rsid w:val="004536E4"/>
    <w:rsid w:val="0045622C"/>
    <w:rsid w:val="004636F5"/>
    <w:rsid w:val="00463B8D"/>
    <w:rsid w:val="004711A9"/>
    <w:rsid w:val="00472B1D"/>
    <w:rsid w:val="00477E70"/>
    <w:rsid w:val="0048479F"/>
    <w:rsid w:val="004A4244"/>
    <w:rsid w:val="004A7D04"/>
    <w:rsid w:val="004B5802"/>
    <w:rsid w:val="004B790E"/>
    <w:rsid w:val="004C4AF2"/>
    <w:rsid w:val="004D3760"/>
    <w:rsid w:val="004D600A"/>
    <w:rsid w:val="004E7663"/>
    <w:rsid w:val="004F1B0B"/>
    <w:rsid w:val="004F2CB6"/>
    <w:rsid w:val="004F2E99"/>
    <w:rsid w:val="00500C85"/>
    <w:rsid w:val="0050109C"/>
    <w:rsid w:val="0050119A"/>
    <w:rsid w:val="00501729"/>
    <w:rsid w:val="00504CD8"/>
    <w:rsid w:val="00504D49"/>
    <w:rsid w:val="00506410"/>
    <w:rsid w:val="00512903"/>
    <w:rsid w:val="005143A7"/>
    <w:rsid w:val="005161ED"/>
    <w:rsid w:val="005168B8"/>
    <w:rsid w:val="00520857"/>
    <w:rsid w:val="005260E6"/>
    <w:rsid w:val="00526D30"/>
    <w:rsid w:val="00531D1D"/>
    <w:rsid w:val="00531D30"/>
    <w:rsid w:val="005341A0"/>
    <w:rsid w:val="005365F7"/>
    <w:rsid w:val="00544B2A"/>
    <w:rsid w:val="005473AC"/>
    <w:rsid w:val="00552B70"/>
    <w:rsid w:val="005554DF"/>
    <w:rsid w:val="00555501"/>
    <w:rsid w:val="005600A6"/>
    <w:rsid w:val="00565F3C"/>
    <w:rsid w:val="00570605"/>
    <w:rsid w:val="00570F27"/>
    <w:rsid w:val="00576110"/>
    <w:rsid w:val="00581724"/>
    <w:rsid w:val="005825DC"/>
    <w:rsid w:val="005876E1"/>
    <w:rsid w:val="00593ACC"/>
    <w:rsid w:val="0059568B"/>
    <w:rsid w:val="0059784E"/>
    <w:rsid w:val="005A1D9D"/>
    <w:rsid w:val="005A1FCC"/>
    <w:rsid w:val="005A5ACB"/>
    <w:rsid w:val="005B2305"/>
    <w:rsid w:val="005C006D"/>
    <w:rsid w:val="005C5DA5"/>
    <w:rsid w:val="005C6047"/>
    <w:rsid w:val="005D6158"/>
    <w:rsid w:val="005D75BE"/>
    <w:rsid w:val="005D7690"/>
    <w:rsid w:val="005E0036"/>
    <w:rsid w:val="005E445D"/>
    <w:rsid w:val="005F05FE"/>
    <w:rsid w:val="005F4835"/>
    <w:rsid w:val="0060221D"/>
    <w:rsid w:val="0060394A"/>
    <w:rsid w:val="00610F45"/>
    <w:rsid w:val="00615ECA"/>
    <w:rsid w:val="00616E00"/>
    <w:rsid w:val="00626CBD"/>
    <w:rsid w:val="00631D42"/>
    <w:rsid w:val="0063308D"/>
    <w:rsid w:val="00633143"/>
    <w:rsid w:val="0064350B"/>
    <w:rsid w:val="006630A6"/>
    <w:rsid w:val="00667C74"/>
    <w:rsid w:val="00671666"/>
    <w:rsid w:val="00675D6A"/>
    <w:rsid w:val="00677BDF"/>
    <w:rsid w:val="00677F11"/>
    <w:rsid w:val="00682EAF"/>
    <w:rsid w:val="0069442A"/>
    <w:rsid w:val="006A1D80"/>
    <w:rsid w:val="006A1F1B"/>
    <w:rsid w:val="006A6C9F"/>
    <w:rsid w:val="006B630C"/>
    <w:rsid w:val="006C3E75"/>
    <w:rsid w:val="006D0264"/>
    <w:rsid w:val="006D3A91"/>
    <w:rsid w:val="006D62DE"/>
    <w:rsid w:val="006F2408"/>
    <w:rsid w:val="006F4A6C"/>
    <w:rsid w:val="00701AD2"/>
    <w:rsid w:val="007119BE"/>
    <w:rsid w:val="00712C38"/>
    <w:rsid w:val="00714DCF"/>
    <w:rsid w:val="00716566"/>
    <w:rsid w:val="00717C72"/>
    <w:rsid w:val="007230D8"/>
    <w:rsid w:val="00723C06"/>
    <w:rsid w:val="00724F4B"/>
    <w:rsid w:val="00737F81"/>
    <w:rsid w:val="00746422"/>
    <w:rsid w:val="00750469"/>
    <w:rsid w:val="00750ABA"/>
    <w:rsid w:val="00760A86"/>
    <w:rsid w:val="00771C2A"/>
    <w:rsid w:val="0077323C"/>
    <w:rsid w:val="00773535"/>
    <w:rsid w:val="00786A73"/>
    <w:rsid w:val="00790890"/>
    <w:rsid w:val="00790A9B"/>
    <w:rsid w:val="00791279"/>
    <w:rsid w:val="00792A72"/>
    <w:rsid w:val="007A1F2C"/>
    <w:rsid w:val="007A505E"/>
    <w:rsid w:val="007A5642"/>
    <w:rsid w:val="007A5F7D"/>
    <w:rsid w:val="007A6B95"/>
    <w:rsid w:val="007B0E08"/>
    <w:rsid w:val="007B136A"/>
    <w:rsid w:val="007B1F16"/>
    <w:rsid w:val="007C0C23"/>
    <w:rsid w:val="007C6ACF"/>
    <w:rsid w:val="007D271E"/>
    <w:rsid w:val="007D339F"/>
    <w:rsid w:val="007D355C"/>
    <w:rsid w:val="007E2122"/>
    <w:rsid w:val="007E3B36"/>
    <w:rsid w:val="007E6E77"/>
    <w:rsid w:val="0081213E"/>
    <w:rsid w:val="0081346C"/>
    <w:rsid w:val="00813D0E"/>
    <w:rsid w:val="008202C2"/>
    <w:rsid w:val="00823F47"/>
    <w:rsid w:val="00826865"/>
    <w:rsid w:val="00826D80"/>
    <w:rsid w:val="00826F84"/>
    <w:rsid w:val="00833458"/>
    <w:rsid w:val="00836EDB"/>
    <w:rsid w:val="008415C7"/>
    <w:rsid w:val="008519BA"/>
    <w:rsid w:val="00855A6B"/>
    <w:rsid w:val="00862B0F"/>
    <w:rsid w:val="00864567"/>
    <w:rsid w:val="00866851"/>
    <w:rsid w:val="0087112D"/>
    <w:rsid w:val="00874719"/>
    <w:rsid w:val="008762C7"/>
    <w:rsid w:val="00893E3F"/>
    <w:rsid w:val="008943BB"/>
    <w:rsid w:val="00895CF4"/>
    <w:rsid w:val="008968C6"/>
    <w:rsid w:val="008A0BED"/>
    <w:rsid w:val="008B03AA"/>
    <w:rsid w:val="008B28A2"/>
    <w:rsid w:val="008B4F82"/>
    <w:rsid w:val="008C78F2"/>
    <w:rsid w:val="008D0F8B"/>
    <w:rsid w:val="008D52B6"/>
    <w:rsid w:val="008D5760"/>
    <w:rsid w:val="008E4BFB"/>
    <w:rsid w:val="008E732E"/>
    <w:rsid w:val="008F24A4"/>
    <w:rsid w:val="0090537E"/>
    <w:rsid w:val="00907D90"/>
    <w:rsid w:val="0093036D"/>
    <w:rsid w:val="0093101C"/>
    <w:rsid w:val="00936E84"/>
    <w:rsid w:val="009409DE"/>
    <w:rsid w:val="00943661"/>
    <w:rsid w:val="00952369"/>
    <w:rsid w:val="00952646"/>
    <w:rsid w:val="0095369A"/>
    <w:rsid w:val="00960782"/>
    <w:rsid w:val="00963982"/>
    <w:rsid w:val="0096450F"/>
    <w:rsid w:val="009668C2"/>
    <w:rsid w:val="0097052F"/>
    <w:rsid w:val="00975B1C"/>
    <w:rsid w:val="00982125"/>
    <w:rsid w:val="00982733"/>
    <w:rsid w:val="00985001"/>
    <w:rsid w:val="00987113"/>
    <w:rsid w:val="00993496"/>
    <w:rsid w:val="00995737"/>
    <w:rsid w:val="009A29E8"/>
    <w:rsid w:val="009A5E12"/>
    <w:rsid w:val="009C05D2"/>
    <w:rsid w:val="009C42DE"/>
    <w:rsid w:val="009C4A20"/>
    <w:rsid w:val="009C7BB7"/>
    <w:rsid w:val="009D30F1"/>
    <w:rsid w:val="009D7476"/>
    <w:rsid w:val="009D7AC2"/>
    <w:rsid w:val="009E4C66"/>
    <w:rsid w:val="009F1B84"/>
    <w:rsid w:val="00A0155F"/>
    <w:rsid w:val="00A046AB"/>
    <w:rsid w:val="00A06A72"/>
    <w:rsid w:val="00A11D8F"/>
    <w:rsid w:val="00A215A2"/>
    <w:rsid w:val="00A24EBA"/>
    <w:rsid w:val="00A265D9"/>
    <w:rsid w:val="00A302B8"/>
    <w:rsid w:val="00A410B7"/>
    <w:rsid w:val="00A445CC"/>
    <w:rsid w:val="00A45475"/>
    <w:rsid w:val="00A50595"/>
    <w:rsid w:val="00A5066E"/>
    <w:rsid w:val="00A6073E"/>
    <w:rsid w:val="00A65043"/>
    <w:rsid w:val="00A713EF"/>
    <w:rsid w:val="00A716E0"/>
    <w:rsid w:val="00A739A8"/>
    <w:rsid w:val="00A818A7"/>
    <w:rsid w:val="00A825DC"/>
    <w:rsid w:val="00A91852"/>
    <w:rsid w:val="00A93F12"/>
    <w:rsid w:val="00AA67D3"/>
    <w:rsid w:val="00AB1470"/>
    <w:rsid w:val="00AB309D"/>
    <w:rsid w:val="00AC3D10"/>
    <w:rsid w:val="00AD2F9F"/>
    <w:rsid w:val="00AD6635"/>
    <w:rsid w:val="00AD7497"/>
    <w:rsid w:val="00AD74E1"/>
    <w:rsid w:val="00AE1316"/>
    <w:rsid w:val="00AE1804"/>
    <w:rsid w:val="00AE4AB6"/>
    <w:rsid w:val="00AE55AD"/>
    <w:rsid w:val="00AE5C55"/>
    <w:rsid w:val="00AE6C13"/>
    <w:rsid w:val="00AF4093"/>
    <w:rsid w:val="00AF4BCB"/>
    <w:rsid w:val="00B020BD"/>
    <w:rsid w:val="00B1031A"/>
    <w:rsid w:val="00B10324"/>
    <w:rsid w:val="00B131A5"/>
    <w:rsid w:val="00B25F2E"/>
    <w:rsid w:val="00B35098"/>
    <w:rsid w:val="00B376B8"/>
    <w:rsid w:val="00B41F20"/>
    <w:rsid w:val="00B43C82"/>
    <w:rsid w:val="00B449B9"/>
    <w:rsid w:val="00B540CF"/>
    <w:rsid w:val="00B549EB"/>
    <w:rsid w:val="00B54FDC"/>
    <w:rsid w:val="00B60A5D"/>
    <w:rsid w:val="00B613B4"/>
    <w:rsid w:val="00B62752"/>
    <w:rsid w:val="00B71421"/>
    <w:rsid w:val="00B74421"/>
    <w:rsid w:val="00B80675"/>
    <w:rsid w:val="00B8596E"/>
    <w:rsid w:val="00B8662B"/>
    <w:rsid w:val="00B9308B"/>
    <w:rsid w:val="00B9382E"/>
    <w:rsid w:val="00B945A7"/>
    <w:rsid w:val="00BA221A"/>
    <w:rsid w:val="00BA4550"/>
    <w:rsid w:val="00BA5341"/>
    <w:rsid w:val="00BB2928"/>
    <w:rsid w:val="00BB65A5"/>
    <w:rsid w:val="00BB6A23"/>
    <w:rsid w:val="00BC198F"/>
    <w:rsid w:val="00BC4BD8"/>
    <w:rsid w:val="00BD15C3"/>
    <w:rsid w:val="00BD16B2"/>
    <w:rsid w:val="00BD63E4"/>
    <w:rsid w:val="00BE0563"/>
    <w:rsid w:val="00BE18D4"/>
    <w:rsid w:val="00BE411B"/>
    <w:rsid w:val="00BE43DC"/>
    <w:rsid w:val="00BF6DD6"/>
    <w:rsid w:val="00BF778E"/>
    <w:rsid w:val="00C034D5"/>
    <w:rsid w:val="00C05A18"/>
    <w:rsid w:val="00C073EB"/>
    <w:rsid w:val="00C07AF3"/>
    <w:rsid w:val="00C10824"/>
    <w:rsid w:val="00C11936"/>
    <w:rsid w:val="00C124F1"/>
    <w:rsid w:val="00C13589"/>
    <w:rsid w:val="00C175DF"/>
    <w:rsid w:val="00C23FB9"/>
    <w:rsid w:val="00C3340B"/>
    <w:rsid w:val="00C33B8D"/>
    <w:rsid w:val="00C377F2"/>
    <w:rsid w:val="00C505F6"/>
    <w:rsid w:val="00C5160F"/>
    <w:rsid w:val="00C52A58"/>
    <w:rsid w:val="00C53F75"/>
    <w:rsid w:val="00C62D00"/>
    <w:rsid w:val="00C64191"/>
    <w:rsid w:val="00C7459A"/>
    <w:rsid w:val="00C837AC"/>
    <w:rsid w:val="00C85B0B"/>
    <w:rsid w:val="00C86C05"/>
    <w:rsid w:val="00C90B74"/>
    <w:rsid w:val="00C936CE"/>
    <w:rsid w:val="00C94FF7"/>
    <w:rsid w:val="00CA1EBB"/>
    <w:rsid w:val="00CB2970"/>
    <w:rsid w:val="00CB2E5A"/>
    <w:rsid w:val="00CC098A"/>
    <w:rsid w:val="00CC1809"/>
    <w:rsid w:val="00CC2647"/>
    <w:rsid w:val="00CC5157"/>
    <w:rsid w:val="00CD2831"/>
    <w:rsid w:val="00CD2F49"/>
    <w:rsid w:val="00CD6294"/>
    <w:rsid w:val="00CD6C13"/>
    <w:rsid w:val="00CD6F45"/>
    <w:rsid w:val="00CE4CDA"/>
    <w:rsid w:val="00CE69D8"/>
    <w:rsid w:val="00CF23AD"/>
    <w:rsid w:val="00CF508D"/>
    <w:rsid w:val="00CF5BD7"/>
    <w:rsid w:val="00D10D9B"/>
    <w:rsid w:val="00D14498"/>
    <w:rsid w:val="00D16229"/>
    <w:rsid w:val="00D21F99"/>
    <w:rsid w:val="00D26693"/>
    <w:rsid w:val="00D3168F"/>
    <w:rsid w:val="00D33E09"/>
    <w:rsid w:val="00D33EF6"/>
    <w:rsid w:val="00D3619F"/>
    <w:rsid w:val="00D414C9"/>
    <w:rsid w:val="00D433F8"/>
    <w:rsid w:val="00D453B9"/>
    <w:rsid w:val="00D45653"/>
    <w:rsid w:val="00D45B4D"/>
    <w:rsid w:val="00D475C1"/>
    <w:rsid w:val="00D5057E"/>
    <w:rsid w:val="00D52539"/>
    <w:rsid w:val="00D52BF5"/>
    <w:rsid w:val="00D53AD4"/>
    <w:rsid w:val="00D5662F"/>
    <w:rsid w:val="00D57292"/>
    <w:rsid w:val="00D62B44"/>
    <w:rsid w:val="00D71AD7"/>
    <w:rsid w:val="00D72863"/>
    <w:rsid w:val="00D76F4D"/>
    <w:rsid w:val="00D80788"/>
    <w:rsid w:val="00D91942"/>
    <w:rsid w:val="00D92A59"/>
    <w:rsid w:val="00D9443A"/>
    <w:rsid w:val="00DA4ED6"/>
    <w:rsid w:val="00DA6EB9"/>
    <w:rsid w:val="00DB1D46"/>
    <w:rsid w:val="00DB396D"/>
    <w:rsid w:val="00DB6FBB"/>
    <w:rsid w:val="00DB7355"/>
    <w:rsid w:val="00DB7E27"/>
    <w:rsid w:val="00DC56BA"/>
    <w:rsid w:val="00DD2C34"/>
    <w:rsid w:val="00DD68CB"/>
    <w:rsid w:val="00DE3F70"/>
    <w:rsid w:val="00DE42DB"/>
    <w:rsid w:val="00DE568C"/>
    <w:rsid w:val="00DF4066"/>
    <w:rsid w:val="00E02FD6"/>
    <w:rsid w:val="00E03582"/>
    <w:rsid w:val="00E0452E"/>
    <w:rsid w:val="00E06711"/>
    <w:rsid w:val="00E13001"/>
    <w:rsid w:val="00E13ED7"/>
    <w:rsid w:val="00E21616"/>
    <w:rsid w:val="00E21F7D"/>
    <w:rsid w:val="00E24D89"/>
    <w:rsid w:val="00E251E6"/>
    <w:rsid w:val="00E43BC2"/>
    <w:rsid w:val="00E5176E"/>
    <w:rsid w:val="00E5359E"/>
    <w:rsid w:val="00E60080"/>
    <w:rsid w:val="00E61655"/>
    <w:rsid w:val="00E625BC"/>
    <w:rsid w:val="00E62F38"/>
    <w:rsid w:val="00E6317A"/>
    <w:rsid w:val="00E65B2F"/>
    <w:rsid w:val="00E660EB"/>
    <w:rsid w:val="00E755EC"/>
    <w:rsid w:val="00E80693"/>
    <w:rsid w:val="00E9096C"/>
    <w:rsid w:val="00E9564B"/>
    <w:rsid w:val="00EA01DF"/>
    <w:rsid w:val="00EA3279"/>
    <w:rsid w:val="00EA5574"/>
    <w:rsid w:val="00EB3A52"/>
    <w:rsid w:val="00EB7339"/>
    <w:rsid w:val="00EC388E"/>
    <w:rsid w:val="00EC42C9"/>
    <w:rsid w:val="00EC4400"/>
    <w:rsid w:val="00ED402C"/>
    <w:rsid w:val="00ED40DF"/>
    <w:rsid w:val="00ED45CC"/>
    <w:rsid w:val="00EE0BE0"/>
    <w:rsid w:val="00EE49E8"/>
    <w:rsid w:val="00EE5C70"/>
    <w:rsid w:val="00EF36BB"/>
    <w:rsid w:val="00EF39EF"/>
    <w:rsid w:val="00EF4050"/>
    <w:rsid w:val="00EF7B3E"/>
    <w:rsid w:val="00F03226"/>
    <w:rsid w:val="00F057C3"/>
    <w:rsid w:val="00F10C01"/>
    <w:rsid w:val="00F131F7"/>
    <w:rsid w:val="00F22000"/>
    <w:rsid w:val="00F23397"/>
    <w:rsid w:val="00F245E3"/>
    <w:rsid w:val="00F26FB5"/>
    <w:rsid w:val="00F35B35"/>
    <w:rsid w:val="00F379E1"/>
    <w:rsid w:val="00F42A69"/>
    <w:rsid w:val="00F450D4"/>
    <w:rsid w:val="00F47D3B"/>
    <w:rsid w:val="00F51018"/>
    <w:rsid w:val="00F64135"/>
    <w:rsid w:val="00F72036"/>
    <w:rsid w:val="00F73CC9"/>
    <w:rsid w:val="00F73CCA"/>
    <w:rsid w:val="00F7409A"/>
    <w:rsid w:val="00F7466A"/>
    <w:rsid w:val="00F76F19"/>
    <w:rsid w:val="00F7772B"/>
    <w:rsid w:val="00F91295"/>
    <w:rsid w:val="00F91D02"/>
    <w:rsid w:val="00F944FF"/>
    <w:rsid w:val="00F95C00"/>
    <w:rsid w:val="00F964AA"/>
    <w:rsid w:val="00FA0BA4"/>
    <w:rsid w:val="00FA7379"/>
    <w:rsid w:val="00FB0069"/>
    <w:rsid w:val="00FB11DB"/>
    <w:rsid w:val="00FB41CA"/>
    <w:rsid w:val="00FB45FB"/>
    <w:rsid w:val="00FB4B0B"/>
    <w:rsid w:val="00FC3C1C"/>
    <w:rsid w:val="00FC63F5"/>
    <w:rsid w:val="00FD5C5B"/>
    <w:rsid w:val="00FE360B"/>
    <w:rsid w:val="00FE707D"/>
    <w:rsid w:val="00FF27A1"/>
    <w:rsid w:val="00FF35C1"/>
    <w:rsid w:val="00FF5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D87F9"/>
  <w15:chartTrackingRefBased/>
  <w15:docId w15:val="{51C17364-2C80-44A4-8834-BEEC388D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4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4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24D89"/>
    <w:pPr>
      <w:spacing w:before="200" w:after="240" w:line="240" w:lineRule="auto"/>
      <w:jc w:val="center"/>
    </w:pPr>
    <w:rPr>
      <w:rFonts w:eastAsiaTheme="minorEastAsia"/>
      <w:i/>
      <w:color w:val="595959" w:themeColor="text1" w:themeTint="A6"/>
      <w:spacing w:val="10"/>
      <w:sz w:val="32"/>
      <w:szCs w:val="24"/>
    </w:rPr>
  </w:style>
  <w:style w:type="character" w:customStyle="1" w:styleId="SubtitleChar">
    <w:name w:val="Subtitle Char"/>
    <w:basedOn w:val="DefaultParagraphFont"/>
    <w:link w:val="Subtitle"/>
    <w:uiPriority w:val="11"/>
    <w:rsid w:val="00E24D89"/>
    <w:rPr>
      <w:rFonts w:eastAsiaTheme="minorEastAsia"/>
      <w:i/>
      <w:color w:val="595959" w:themeColor="text1" w:themeTint="A6"/>
      <w:spacing w:val="10"/>
      <w:sz w:val="32"/>
      <w:szCs w:val="24"/>
    </w:rPr>
  </w:style>
  <w:style w:type="character" w:customStyle="1" w:styleId="Heading1Char">
    <w:name w:val="Heading 1 Char"/>
    <w:basedOn w:val="DefaultParagraphFont"/>
    <w:link w:val="Heading1"/>
    <w:uiPriority w:val="9"/>
    <w:rsid w:val="00094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4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4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7DC"/>
    <w:rPr>
      <w:rFonts w:eastAsiaTheme="majorEastAsia" w:cstheme="majorBidi"/>
      <w:color w:val="272727" w:themeColor="text1" w:themeTint="D8"/>
    </w:rPr>
  </w:style>
  <w:style w:type="paragraph" w:styleId="Title">
    <w:name w:val="Title"/>
    <w:basedOn w:val="Normal"/>
    <w:next w:val="Normal"/>
    <w:link w:val="TitleChar"/>
    <w:uiPriority w:val="10"/>
    <w:qFormat/>
    <w:rsid w:val="00094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7DC"/>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0947DC"/>
    <w:pPr>
      <w:spacing w:before="160"/>
      <w:jc w:val="center"/>
    </w:pPr>
    <w:rPr>
      <w:i/>
      <w:iCs/>
      <w:color w:val="404040" w:themeColor="text1" w:themeTint="BF"/>
    </w:rPr>
  </w:style>
  <w:style w:type="character" w:customStyle="1" w:styleId="QuoteChar">
    <w:name w:val="Quote Char"/>
    <w:basedOn w:val="DefaultParagraphFont"/>
    <w:link w:val="Quote"/>
    <w:uiPriority w:val="29"/>
    <w:rsid w:val="000947DC"/>
    <w:rPr>
      <w:i/>
      <w:iCs/>
      <w:color w:val="404040" w:themeColor="text1" w:themeTint="BF"/>
    </w:rPr>
  </w:style>
  <w:style w:type="paragraph" w:styleId="ListParagraph">
    <w:name w:val="List Paragraph"/>
    <w:basedOn w:val="Normal"/>
    <w:uiPriority w:val="34"/>
    <w:qFormat/>
    <w:rsid w:val="000947DC"/>
    <w:pPr>
      <w:ind w:left="720"/>
      <w:contextualSpacing/>
    </w:pPr>
  </w:style>
  <w:style w:type="character" w:styleId="IntenseEmphasis">
    <w:name w:val="Intense Emphasis"/>
    <w:basedOn w:val="DefaultParagraphFont"/>
    <w:uiPriority w:val="21"/>
    <w:qFormat/>
    <w:rsid w:val="000947DC"/>
    <w:rPr>
      <w:i/>
      <w:iCs/>
      <w:color w:val="0F4761" w:themeColor="accent1" w:themeShade="BF"/>
    </w:rPr>
  </w:style>
  <w:style w:type="paragraph" w:styleId="IntenseQuote">
    <w:name w:val="Intense Quote"/>
    <w:basedOn w:val="Normal"/>
    <w:next w:val="Normal"/>
    <w:link w:val="IntenseQuoteChar"/>
    <w:uiPriority w:val="30"/>
    <w:qFormat/>
    <w:rsid w:val="00094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7DC"/>
    <w:rPr>
      <w:i/>
      <w:iCs/>
      <w:color w:val="0F4761" w:themeColor="accent1" w:themeShade="BF"/>
    </w:rPr>
  </w:style>
  <w:style w:type="character" w:styleId="IntenseReference">
    <w:name w:val="Intense Reference"/>
    <w:basedOn w:val="DefaultParagraphFont"/>
    <w:uiPriority w:val="32"/>
    <w:qFormat/>
    <w:rsid w:val="000947DC"/>
    <w:rPr>
      <w:b/>
      <w:bCs/>
      <w:smallCaps/>
      <w:color w:val="0F4761" w:themeColor="accent1" w:themeShade="BF"/>
      <w:spacing w:val="5"/>
    </w:rPr>
  </w:style>
  <w:style w:type="character" w:styleId="Hyperlink">
    <w:name w:val="Hyperlink"/>
    <w:basedOn w:val="DefaultParagraphFont"/>
    <w:uiPriority w:val="99"/>
    <w:unhideWhenUsed/>
    <w:rsid w:val="00E251E6"/>
    <w:rPr>
      <w:color w:val="467886" w:themeColor="hyperlink"/>
      <w:u w:val="single"/>
    </w:rPr>
  </w:style>
  <w:style w:type="character" w:styleId="UnresolvedMention">
    <w:name w:val="Unresolved Mention"/>
    <w:basedOn w:val="DefaultParagraphFont"/>
    <w:uiPriority w:val="99"/>
    <w:semiHidden/>
    <w:unhideWhenUsed/>
    <w:rsid w:val="00E251E6"/>
    <w:rPr>
      <w:color w:val="605E5C"/>
      <w:shd w:val="clear" w:color="auto" w:fill="E1DFDD"/>
    </w:rPr>
  </w:style>
  <w:style w:type="character" w:styleId="CommentReference">
    <w:name w:val="annotation reference"/>
    <w:basedOn w:val="DefaultParagraphFont"/>
    <w:uiPriority w:val="99"/>
    <w:semiHidden/>
    <w:unhideWhenUsed/>
    <w:rsid w:val="00501729"/>
    <w:rPr>
      <w:sz w:val="16"/>
      <w:szCs w:val="16"/>
    </w:rPr>
  </w:style>
  <w:style w:type="paragraph" w:styleId="CommentText">
    <w:name w:val="annotation text"/>
    <w:basedOn w:val="Normal"/>
    <w:link w:val="CommentTextChar"/>
    <w:uiPriority w:val="99"/>
    <w:unhideWhenUsed/>
    <w:rsid w:val="00501729"/>
    <w:pPr>
      <w:spacing w:line="240" w:lineRule="auto"/>
    </w:pPr>
    <w:rPr>
      <w:sz w:val="20"/>
      <w:szCs w:val="20"/>
    </w:rPr>
  </w:style>
  <w:style w:type="character" w:customStyle="1" w:styleId="CommentTextChar">
    <w:name w:val="Comment Text Char"/>
    <w:basedOn w:val="DefaultParagraphFont"/>
    <w:link w:val="CommentText"/>
    <w:uiPriority w:val="99"/>
    <w:rsid w:val="00501729"/>
    <w:rPr>
      <w:sz w:val="20"/>
      <w:szCs w:val="20"/>
    </w:rPr>
  </w:style>
  <w:style w:type="paragraph" w:styleId="CommentSubject">
    <w:name w:val="annotation subject"/>
    <w:basedOn w:val="CommentText"/>
    <w:next w:val="CommentText"/>
    <w:link w:val="CommentSubjectChar"/>
    <w:uiPriority w:val="99"/>
    <w:semiHidden/>
    <w:unhideWhenUsed/>
    <w:rsid w:val="00501729"/>
    <w:rPr>
      <w:b/>
      <w:bCs/>
    </w:rPr>
  </w:style>
  <w:style w:type="character" w:customStyle="1" w:styleId="CommentSubjectChar">
    <w:name w:val="Comment Subject Char"/>
    <w:basedOn w:val="CommentTextChar"/>
    <w:link w:val="CommentSubject"/>
    <w:uiPriority w:val="99"/>
    <w:semiHidden/>
    <w:rsid w:val="00501729"/>
    <w:rPr>
      <w:b/>
      <w:bCs/>
      <w:sz w:val="20"/>
      <w:szCs w:val="20"/>
    </w:rPr>
  </w:style>
  <w:style w:type="paragraph" w:styleId="Revision">
    <w:name w:val="Revision"/>
    <w:hidden/>
    <w:uiPriority w:val="99"/>
    <w:semiHidden/>
    <w:rsid w:val="00D71AD7"/>
    <w:pPr>
      <w:spacing w:after="0" w:line="240" w:lineRule="auto"/>
    </w:pPr>
  </w:style>
  <w:style w:type="paragraph" w:styleId="Header">
    <w:name w:val="header"/>
    <w:basedOn w:val="Normal"/>
    <w:link w:val="HeaderChar"/>
    <w:uiPriority w:val="99"/>
    <w:unhideWhenUsed/>
    <w:rsid w:val="00F91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D02"/>
  </w:style>
  <w:style w:type="paragraph" w:styleId="Footer">
    <w:name w:val="footer"/>
    <w:basedOn w:val="Normal"/>
    <w:link w:val="FooterChar"/>
    <w:uiPriority w:val="99"/>
    <w:unhideWhenUsed/>
    <w:rsid w:val="00F91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D02"/>
  </w:style>
  <w:style w:type="paragraph" w:styleId="TOCHeading">
    <w:name w:val="TOC Heading"/>
    <w:basedOn w:val="Heading1"/>
    <w:next w:val="Normal"/>
    <w:uiPriority w:val="39"/>
    <w:unhideWhenUsed/>
    <w:qFormat/>
    <w:rsid w:val="006F2408"/>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F2408"/>
    <w:pPr>
      <w:spacing w:after="100"/>
    </w:pPr>
  </w:style>
  <w:style w:type="paragraph" w:styleId="TOC2">
    <w:name w:val="toc 2"/>
    <w:basedOn w:val="Normal"/>
    <w:next w:val="Normal"/>
    <w:autoRedefine/>
    <w:uiPriority w:val="39"/>
    <w:unhideWhenUsed/>
    <w:rsid w:val="006F2408"/>
    <w:pPr>
      <w:spacing w:after="100"/>
      <w:ind w:left="220"/>
    </w:pPr>
  </w:style>
  <w:style w:type="numbering" w:customStyle="1" w:styleId="CurrentList1">
    <w:name w:val="Current List1"/>
    <w:uiPriority w:val="99"/>
    <w:rsid w:val="00C23FB9"/>
    <w:pPr>
      <w:numPr>
        <w:numId w:val="19"/>
      </w:numPr>
    </w:pPr>
  </w:style>
  <w:style w:type="paragraph" w:styleId="TOC3">
    <w:name w:val="toc 3"/>
    <w:basedOn w:val="Normal"/>
    <w:next w:val="Normal"/>
    <w:autoRedefine/>
    <w:uiPriority w:val="39"/>
    <w:unhideWhenUsed/>
    <w:rsid w:val="006D3A91"/>
    <w:pPr>
      <w:spacing w:after="100"/>
      <w:ind w:left="440"/>
    </w:pPr>
  </w:style>
  <w:style w:type="table" w:styleId="TableGrid">
    <w:name w:val="Table Grid"/>
    <w:basedOn w:val="TableNormal"/>
    <w:uiPriority w:val="39"/>
    <w:rsid w:val="009C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621">
      <w:bodyDiv w:val="1"/>
      <w:marLeft w:val="0"/>
      <w:marRight w:val="0"/>
      <w:marTop w:val="0"/>
      <w:marBottom w:val="0"/>
      <w:divBdr>
        <w:top w:val="none" w:sz="0" w:space="0" w:color="auto"/>
        <w:left w:val="none" w:sz="0" w:space="0" w:color="auto"/>
        <w:bottom w:val="none" w:sz="0" w:space="0" w:color="auto"/>
        <w:right w:val="none" w:sz="0" w:space="0" w:color="auto"/>
      </w:divBdr>
    </w:div>
    <w:div w:id="237525111">
      <w:bodyDiv w:val="1"/>
      <w:marLeft w:val="0"/>
      <w:marRight w:val="0"/>
      <w:marTop w:val="0"/>
      <w:marBottom w:val="0"/>
      <w:divBdr>
        <w:top w:val="none" w:sz="0" w:space="0" w:color="auto"/>
        <w:left w:val="none" w:sz="0" w:space="0" w:color="auto"/>
        <w:bottom w:val="none" w:sz="0" w:space="0" w:color="auto"/>
        <w:right w:val="none" w:sz="0" w:space="0" w:color="auto"/>
      </w:divBdr>
      <w:divsChild>
        <w:div w:id="1089159780">
          <w:marLeft w:val="0"/>
          <w:marRight w:val="0"/>
          <w:marTop w:val="0"/>
          <w:marBottom w:val="0"/>
          <w:divBdr>
            <w:top w:val="none" w:sz="0" w:space="0" w:color="auto"/>
            <w:left w:val="none" w:sz="0" w:space="0" w:color="auto"/>
            <w:bottom w:val="none" w:sz="0" w:space="0" w:color="auto"/>
            <w:right w:val="none" w:sz="0" w:space="0" w:color="auto"/>
          </w:divBdr>
        </w:div>
        <w:div w:id="1583370180">
          <w:marLeft w:val="0"/>
          <w:marRight w:val="0"/>
          <w:marTop w:val="0"/>
          <w:marBottom w:val="0"/>
          <w:divBdr>
            <w:top w:val="none" w:sz="0" w:space="0" w:color="auto"/>
            <w:left w:val="none" w:sz="0" w:space="0" w:color="auto"/>
            <w:bottom w:val="none" w:sz="0" w:space="0" w:color="auto"/>
            <w:right w:val="none" w:sz="0" w:space="0" w:color="auto"/>
          </w:divBdr>
        </w:div>
        <w:div w:id="1601639118">
          <w:marLeft w:val="0"/>
          <w:marRight w:val="0"/>
          <w:marTop w:val="0"/>
          <w:marBottom w:val="0"/>
          <w:divBdr>
            <w:top w:val="none" w:sz="0" w:space="0" w:color="auto"/>
            <w:left w:val="none" w:sz="0" w:space="0" w:color="auto"/>
            <w:bottom w:val="none" w:sz="0" w:space="0" w:color="auto"/>
            <w:right w:val="none" w:sz="0" w:space="0" w:color="auto"/>
          </w:divBdr>
        </w:div>
        <w:div w:id="788477279">
          <w:marLeft w:val="0"/>
          <w:marRight w:val="0"/>
          <w:marTop w:val="0"/>
          <w:marBottom w:val="0"/>
          <w:divBdr>
            <w:top w:val="none" w:sz="0" w:space="0" w:color="auto"/>
            <w:left w:val="none" w:sz="0" w:space="0" w:color="auto"/>
            <w:bottom w:val="none" w:sz="0" w:space="0" w:color="auto"/>
            <w:right w:val="none" w:sz="0" w:space="0" w:color="auto"/>
          </w:divBdr>
        </w:div>
      </w:divsChild>
    </w:div>
    <w:div w:id="346563645">
      <w:bodyDiv w:val="1"/>
      <w:marLeft w:val="0"/>
      <w:marRight w:val="0"/>
      <w:marTop w:val="0"/>
      <w:marBottom w:val="0"/>
      <w:divBdr>
        <w:top w:val="none" w:sz="0" w:space="0" w:color="auto"/>
        <w:left w:val="none" w:sz="0" w:space="0" w:color="auto"/>
        <w:bottom w:val="none" w:sz="0" w:space="0" w:color="auto"/>
        <w:right w:val="none" w:sz="0" w:space="0" w:color="auto"/>
      </w:divBdr>
    </w:div>
    <w:div w:id="749424956">
      <w:bodyDiv w:val="1"/>
      <w:marLeft w:val="0"/>
      <w:marRight w:val="0"/>
      <w:marTop w:val="0"/>
      <w:marBottom w:val="0"/>
      <w:divBdr>
        <w:top w:val="none" w:sz="0" w:space="0" w:color="auto"/>
        <w:left w:val="none" w:sz="0" w:space="0" w:color="auto"/>
        <w:bottom w:val="none" w:sz="0" w:space="0" w:color="auto"/>
        <w:right w:val="none" w:sz="0" w:space="0" w:color="auto"/>
      </w:divBdr>
    </w:div>
    <w:div w:id="751046374">
      <w:bodyDiv w:val="1"/>
      <w:marLeft w:val="0"/>
      <w:marRight w:val="0"/>
      <w:marTop w:val="0"/>
      <w:marBottom w:val="0"/>
      <w:divBdr>
        <w:top w:val="none" w:sz="0" w:space="0" w:color="auto"/>
        <w:left w:val="none" w:sz="0" w:space="0" w:color="auto"/>
        <w:bottom w:val="none" w:sz="0" w:space="0" w:color="auto"/>
        <w:right w:val="none" w:sz="0" w:space="0" w:color="auto"/>
      </w:divBdr>
      <w:divsChild>
        <w:div w:id="473721779">
          <w:marLeft w:val="0"/>
          <w:marRight w:val="0"/>
          <w:marTop w:val="0"/>
          <w:marBottom w:val="0"/>
          <w:divBdr>
            <w:top w:val="none" w:sz="0" w:space="0" w:color="auto"/>
            <w:left w:val="none" w:sz="0" w:space="0" w:color="auto"/>
            <w:bottom w:val="none" w:sz="0" w:space="0" w:color="auto"/>
            <w:right w:val="none" w:sz="0" w:space="0" w:color="auto"/>
          </w:divBdr>
        </w:div>
        <w:div w:id="512502089">
          <w:marLeft w:val="0"/>
          <w:marRight w:val="0"/>
          <w:marTop w:val="0"/>
          <w:marBottom w:val="0"/>
          <w:divBdr>
            <w:top w:val="none" w:sz="0" w:space="0" w:color="auto"/>
            <w:left w:val="none" w:sz="0" w:space="0" w:color="auto"/>
            <w:bottom w:val="none" w:sz="0" w:space="0" w:color="auto"/>
            <w:right w:val="none" w:sz="0" w:space="0" w:color="auto"/>
          </w:divBdr>
        </w:div>
        <w:div w:id="1183711531">
          <w:marLeft w:val="0"/>
          <w:marRight w:val="0"/>
          <w:marTop w:val="0"/>
          <w:marBottom w:val="0"/>
          <w:divBdr>
            <w:top w:val="none" w:sz="0" w:space="0" w:color="auto"/>
            <w:left w:val="none" w:sz="0" w:space="0" w:color="auto"/>
            <w:bottom w:val="none" w:sz="0" w:space="0" w:color="auto"/>
            <w:right w:val="none" w:sz="0" w:space="0" w:color="auto"/>
          </w:divBdr>
        </w:div>
        <w:div w:id="423887440">
          <w:marLeft w:val="0"/>
          <w:marRight w:val="0"/>
          <w:marTop w:val="0"/>
          <w:marBottom w:val="0"/>
          <w:divBdr>
            <w:top w:val="none" w:sz="0" w:space="0" w:color="auto"/>
            <w:left w:val="none" w:sz="0" w:space="0" w:color="auto"/>
            <w:bottom w:val="none" w:sz="0" w:space="0" w:color="auto"/>
            <w:right w:val="none" w:sz="0" w:space="0" w:color="auto"/>
          </w:divBdr>
        </w:div>
      </w:divsChild>
    </w:div>
    <w:div w:id="1205943319">
      <w:bodyDiv w:val="1"/>
      <w:marLeft w:val="0"/>
      <w:marRight w:val="0"/>
      <w:marTop w:val="0"/>
      <w:marBottom w:val="0"/>
      <w:divBdr>
        <w:top w:val="none" w:sz="0" w:space="0" w:color="auto"/>
        <w:left w:val="none" w:sz="0" w:space="0" w:color="auto"/>
        <w:bottom w:val="none" w:sz="0" w:space="0" w:color="auto"/>
        <w:right w:val="none" w:sz="0" w:space="0" w:color="auto"/>
      </w:divBdr>
    </w:div>
    <w:div w:id="1245921085">
      <w:bodyDiv w:val="1"/>
      <w:marLeft w:val="0"/>
      <w:marRight w:val="0"/>
      <w:marTop w:val="0"/>
      <w:marBottom w:val="0"/>
      <w:divBdr>
        <w:top w:val="none" w:sz="0" w:space="0" w:color="auto"/>
        <w:left w:val="none" w:sz="0" w:space="0" w:color="auto"/>
        <w:bottom w:val="none" w:sz="0" w:space="0" w:color="auto"/>
        <w:right w:val="none" w:sz="0" w:space="0" w:color="auto"/>
      </w:divBdr>
    </w:div>
    <w:div w:id="1474368311">
      <w:bodyDiv w:val="1"/>
      <w:marLeft w:val="0"/>
      <w:marRight w:val="0"/>
      <w:marTop w:val="0"/>
      <w:marBottom w:val="0"/>
      <w:divBdr>
        <w:top w:val="none" w:sz="0" w:space="0" w:color="auto"/>
        <w:left w:val="none" w:sz="0" w:space="0" w:color="auto"/>
        <w:bottom w:val="none" w:sz="0" w:space="0" w:color="auto"/>
        <w:right w:val="none" w:sz="0" w:space="0" w:color="auto"/>
      </w:divBdr>
    </w:div>
    <w:div w:id="1970284947">
      <w:bodyDiv w:val="1"/>
      <w:marLeft w:val="0"/>
      <w:marRight w:val="0"/>
      <w:marTop w:val="0"/>
      <w:marBottom w:val="0"/>
      <w:divBdr>
        <w:top w:val="none" w:sz="0" w:space="0" w:color="auto"/>
        <w:left w:val="none" w:sz="0" w:space="0" w:color="auto"/>
        <w:bottom w:val="none" w:sz="0" w:space="0" w:color="auto"/>
        <w:right w:val="none" w:sz="0" w:space="0" w:color="auto"/>
      </w:divBdr>
    </w:div>
    <w:div w:id="209072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philip.kerrigan@york.ac.uk" TargetMode="External"/><Relationship Id="rId3" Type="http://schemas.openxmlformats.org/officeDocument/2006/relationships/styles" Target="styles.xml"/><Relationship Id="rId21" Type="http://schemas.openxmlformats.org/officeDocument/2006/relationships/hyperlink" Target="https://doi.org/10.18745/pb.25987"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cynthia.iglesias@york.ac.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j.mills@hull.ac.uk" TargetMode="External"/><Relationship Id="rId20" Type="http://schemas.openxmlformats.org/officeDocument/2006/relationships/hyperlink" Target="mailto:a.moss2@hull.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AMHR@hull.ac.uk"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s.capes2@hull.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C9D78-68EF-C449-904F-0BF493E152EA}">
  <ds:schemaRefs>
    <ds:schemaRef ds:uri="http://schemas.openxmlformats.org/officeDocument/2006/bibliography"/>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3012</Words>
  <Characters>17173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CAMHR EDIA Strategy V1 with action plan May 2025</dc:title>
  <dc:subject>
  </dc:subject>
  <dc:creator>Philip Kerrigan</dc:creator>
  <cp:keywords>
  </cp:keywords>
  <dc:description>
  </dc:description>
  <cp:lastModifiedBy>Alexander Simpson</cp:lastModifiedBy>
  <cp:revision>56</cp:revision>
  <cp:lastPrinted>2025-04-28T11:09:00Z</cp:lastPrinted>
  <dcterms:created xsi:type="dcterms:W3CDTF">2025-05-06T15:07:00Z</dcterms:created>
  <dcterms:modified xsi:type="dcterms:W3CDTF">2025-08-26T14:23:50Z</dcterms:modified>
</cp:coreProperties>
</file>